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C4" w:rsidRDefault="00B62FC4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:rsidR="00B62FC4" w:rsidRDefault="00B62FC4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.../2024. (……….) önkormányzati rendelete</w:t>
      </w:r>
    </w:p>
    <w:p w:rsidR="00B62FC4" w:rsidRDefault="00B62FC4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településkép védelméről szóló 23/2017.(XII.15.) önkormányzati rendeletének a módosításáról</w:t>
      </w:r>
    </w:p>
    <w:p w:rsidR="00B62FC4" w:rsidRPr="00B06591" w:rsidRDefault="00B62FC4" w:rsidP="00B06591">
      <w:pPr>
        <w:pStyle w:val="BodyText"/>
        <w:spacing w:before="220" w:after="0" w:line="240" w:lineRule="auto"/>
        <w:jc w:val="both"/>
      </w:pPr>
      <w:r>
        <w:t>Nyúl Község Önkormányzat Képviselő-testülete a településkép védelméről szóló 2016. évi LXXIV. törvény 12. § (2) bekezdés a)-h) pontjában kapott felhatalmazás alapján, Magyarország Alaptörvénye 32. cikk (1) bekezdés a) pontjában meghatározott feladatkörében eljárva, Győr-Moson-Sopron Vármegyei Kormányhivatal Állami Főépítész véleményének kikérésével, a partnerségi egyeztetés lefolytatását követően a következőket rendeli el:</w:t>
      </w:r>
    </w:p>
    <w:p w:rsidR="00B62FC4" w:rsidRDefault="00B62FC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B62FC4" w:rsidRDefault="00B62FC4">
      <w:pPr>
        <w:pStyle w:val="BodyText"/>
        <w:spacing w:after="0" w:line="240" w:lineRule="auto"/>
        <w:jc w:val="both"/>
      </w:pPr>
      <w:r>
        <w:t>Hatályát veszti A településkép védelméről szóló Nyúl község képviselő testületének 23/2017 (XII.15..) önkormányzati rendelete</w:t>
      </w:r>
    </w:p>
    <w:p w:rsidR="00B62FC4" w:rsidRDefault="00B62FC4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1. § (5) bekezdés c)–f) pontja,</w:t>
      </w:r>
    </w:p>
    <w:p w:rsidR="00B62FC4" w:rsidRDefault="00B62FC4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18. § (3) bekezdése,</w:t>
      </w:r>
    </w:p>
    <w:p w:rsidR="00B62FC4" w:rsidRDefault="00B62FC4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18. § (5) bekezdése,</w:t>
      </w:r>
    </w:p>
    <w:p w:rsidR="00B62FC4" w:rsidRDefault="00B62FC4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18. § (8) bekezdése,</w:t>
      </w:r>
    </w:p>
    <w:p w:rsidR="00B62FC4" w:rsidRDefault="00B62FC4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19. §-a,</w:t>
      </w:r>
    </w:p>
    <w:p w:rsidR="00B62FC4" w:rsidRDefault="00B62FC4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20. § (1) bekezdése,</w:t>
      </w:r>
    </w:p>
    <w:p w:rsidR="00B62FC4" w:rsidRDefault="00B62FC4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20. § (3) és (4) bekezdése,</w:t>
      </w:r>
    </w:p>
    <w:p w:rsidR="00B62FC4" w:rsidRDefault="00B62FC4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21. §-a,</w:t>
      </w:r>
    </w:p>
    <w:p w:rsidR="00B62FC4" w:rsidRDefault="00B62FC4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24. § (2) bekezdése.</w:t>
      </w:r>
    </w:p>
    <w:p w:rsidR="00B62FC4" w:rsidRDefault="00B62FC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B62FC4" w:rsidRDefault="00B62FC4">
      <w:pPr>
        <w:pStyle w:val="BodyText"/>
        <w:spacing w:after="0" w:line="240" w:lineRule="auto"/>
        <w:jc w:val="both"/>
      </w:pPr>
      <w:r>
        <w:t>Ez a rendelet 2024. …………………..-én lép hatályba.</w:t>
      </w:r>
    </w:p>
    <w:p w:rsidR="00B62FC4" w:rsidRDefault="00B62FC4">
      <w:pPr>
        <w:pStyle w:val="BodyText"/>
        <w:spacing w:after="0" w:line="240" w:lineRule="auto"/>
        <w:jc w:val="both"/>
      </w:pPr>
    </w:p>
    <w:p w:rsidR="00B62FC4" w:rsidRDefault="00B62FC4" w:rsidP="00972828">
      <w:pPr>
        <w:pStyle w:val="Heading1"/>
      </w:pPr>
      <w:r>
        <w:br w:type="page"/>
        <w:t>Nyúl község képviselő testületének 23/2017 (XII.15..) önkormányzati rendelete</w:t>
      </w:r>
    </w:p>
    <w:p w:rsidR="00B62FC4" w:rsidRDefault="00B62FC4" w:rsidP="00972828">
      <w:pPr>
        <w:pStyle w:val="Heading2"/>
      </w:pPr>
      <w:r>
        <w:t>A településkép védelméről</w:t>
      </w:r>
    </w:p>
    <w:p w:rsidR="00B62FC4" w:rsidRDefault="00B62FC4" w:rsidP="00972828">
      <w:pPr>
        <w:pStyle w:val="NormalWeb"/>
      </w:pPr>
      <w:r>
        <w:rPr>
          <w:rStyle w:val="szakasz-jel"/>
        </w:rPr>
        <w:t>1. §</w:t>
      </w:r>
      <w:r>
        <w:rPr>
          <w:rStyle w:val="jel"/>
        </w:rPr>
        <w:t xml:space="preserve"> </w:t>
      </w:r>
    </w:p>
    <w:p w:rsidR="00B62FC4" w:rsidRDefault="00B62FC4" w:rsidP="00972828">
      <w:pPr>
        <w:pStyle w:val="NormalWeb"/>
      </w:pPr>
      <w:r>
        <w:rPr>
          <w:rStyle w:val="jel"/>
        </w:rPr>
        <w:t>(5)</w:t>
      </w:r>
      <w:r>
        <w:t xml:space="preserve"> E Rendelet alkalmazásában:</w:t>
      </w:r>
    </w:p>
    <w:p w:rsidR="00B62FC4" w:rsidRDefault="00B62FC4" w:rsidP="00972828">
      <w:pPr>
        <w:pStyle w:val="NormalWeb"/>
      </w:pPr>
      <w:r>
        <w:rPr>
          <w:rStyle w:val="jel"/>
        </w:rPr>
        <w:t>c)</w:t>
      </w:r>
      <w:r>
        <w:t xml:space="preserve"> </w:t>
      </w:r>
      <w:r>
        <w:rPr>
          <w:i/>
          <w:iCs/>
        </w:rPr>
        <w:t>CityLight formátumú eszköz:</w:t>
      </w:r>
      <w:r>
        <w:t xml:space="preserve"> olyan függőleges elhelyezésű berendezés, amelynek mérete hozz</w:t>
      </w:r>
      <w:r>
        <w:t>á</w:t>
      </w:r>
      <w:r>
        <w:t>vetőlegesen 118 cm x 175 cm és hozzávetőlegesen 2 négyzetméter látható, papíralapú reklámközz</w:t>
      </w:r>
      <w:r>
        <w:t>é</w:t>
      </w:r>
      <w:r>
        <w:t>tételre alkalmas felülettel vagy 72”-90” képátlójú, 16:9 arányú, álló helyzetű digitális kijelzővel rendelkezik;</w:t>
      </w:r>
    </w:p>
    <w:p w:rsidR="00B62FC4" w:rsidRDefault="00B62FC4" w:rsidP="00972828">
      <w:pPr>
        <w:pStyle w:val="NormalWeb"/>
      </w:pPr>
      <w:r>
        <w:rPr>
          <w:rStyle w:val="jel"/>
        </w:rPr>
        <w:t>d)</w:t>
      </w:r>
      <w:r>
        <w:t xml:space="preserve"> </w:t>
      </w:r>
      <w:r>
        <w:rPr>
          <w:i/>
          <w:iCs/>
        </w:rPr>
        <w:t>CityBoard formátumú eszköz:</w:t>
      </w:r>
      <w:r>
        <w:t xml:space="preserve"> olyan 2,5 métertől 3,5 méter magasságú két lábon álló berendezés, amelynek mérete 7-9 négyzetméter, látható, papír- (vagy fólia-) alapú, nem ragasztott, hátulról megvilágított reklámközzétételre alkalmas, hátsó fényforrás által megvilágított felülettel, vagy ilyen méretű digitális kijelzővel rendelkezik;</w:t>
      </w:r>
    </w:p>
    <w:p w:rsidR="00B62FC4" w:rsidRDefault="00B62FC4" w:rsidP="00972828">
      <w:pPr>
        <w:pStyle w:val="NormalWeb"/>
      </w:pPr>
      <w:r>
        <w:rPr>
          <w:rStyle w:val="jel"/>
        </w:rPr>
        <w:t>e)</w:t>
      </w:r>
      <w:r>
        <w:t xml:space="preserve"> </w:t>
      </w:r>
      <w:r>
        <w:rPr>
          <w:i/>
          <w:iCs/>
        </w:rPr>
        <w:t>funkcionális célokat szolgáló utcabútor:</w:t>
      </w:r>
      <w:r>
        <w:t xml:space="preserve"> olyan utasváró, kioszk és információs vagy más célú berendezés, amely létesítésének célját tekintve elsődlegesen nem reklámközzétételre, hanem az adott területen ténylegesen felmerülő, a berendezés funkciójából adódó lakossági igények kielégít</w:t>
      </w:r>
      <w:r>
        <w:t>é</w:t>
      </w:r>
      <w:r>
        <w:t>sére szolgál;</w:t>
      </w:r>
    </w:p>
    <w:p w:rsidR="00B62FC4" w:rsidRDefault="00B62FC4" w:rsidP="00972828">
      <w:pPr>
        <w:pStyle w:val="NormalWeb"/>
      </w:pPr>
      <w:r>
        <w:rPr>
          <w:rStyle w:val="jel"/>
        </w:rPr>
        <w:t>f)</w:t>
      </w:r>
      <w:r>
        <w:t xml:space="preserve"> </w:t>
      </w:r>
      <w:r>
        <w:rPr>
          <w:i/>
          <w:iCs/>
        </w:rPr>
        <w:t>információs célú berendezés:</w:t>
      </w:r>
      <w:r>
        <w:t xml:space="preserve"> az önkormányzati hirdetőtábla, az önkormányzati faliújság, az i</w:t>
      </w:r>
      <w:r>
        <w:t>n</w:t>
      </w:r>
      <w:r>
        <w:t>formációs vitrin, az útbaigazító hirdetmény, a közérdekű molinó, valamint a CityLight formátumú eszköz és CityBoard formátumú eszköz;</w:t>
      </w:r>
    </w:p>
    <w:p w:rsidR="00B62FC4" w:rsidRDefault="00B62FC4" w:rsidP="00972828">
      <w:pPr>
        <w:pStyle w:val="NormalWeb"/>
      </w:pPr>
      <w:r>
        <w:rPr>
          <w:rStyle w:val="szakasz-jel"/>
        </w:rPr>
        <w:t>18. §</w:t>
      </w:r>
      <w:r>
        <w:rPr>
          <w:rStyle w:val="jel"/>
        </w:rPr>
        <w:t xml:space="preserve"> (3)</w:t>
      </w:r>
      <w:r>
        <w:t xml:space="preserve"> Reklámhordozó az épületek utcai homlokzatán – építési reklámháló kivételével – nem helyezhető el. Kivételt képez ez alól az önkormányzati hirdetőtábla és az önkormányzati faliújság, melyek a közművelődési intézmények homlokzatán is elhelyezhetők</w:t>
      </w:r>
    </w:p>
    <w:p w:rsidR="00B62FC4" w:rsidRDefault="00B62FC4" w:rsidP="00972828">
      <w:pPr>
        <w:pStyle w:val="NormalWeb"/>
      </w:pPr>
      <w:r>
        <w:rPr>
          <w:rStyle w:val="jel"/>
        </w:rPr>
        <w:t>(5)</w:t>
      </w:r>
      <w:r>
        <w:t xml:space="preserve"> Egy adott útszakasz menetirány szerinti azonos oldalán harminc méteren belül további reklá</w:t>
      </w:r>
      <w:r>
        <w:t>m</w:t>
      </w:r>
      <w:r>
        <w:t>hordozó nem helyezhető el. A tilalom nem vonatkozik a reklámközzétételre nem használt inform</w:t>
      </w:r>
      <w:r>
        <w:t>á</w:t>
      </w:r>
      <w:r>
        <w:t>ciós célú berendezésekre, funkcionális célú utcabútorokra, közérdekű reklámfelületre, továbbá az építési reklámhálóra.</w:t>
      </w:r>
    </w:p>
    <w:p w:rsidR="00B62FC4" w:rsidRDefault="00B62FC4" w:rsidP="00972828">
      <w:pPr>
        <w:pStyle w:val="NormalWeb"/>
      </w:pPr>
      <w:r>
        <w:rPr>
          <w:rStyle w:val="jel"/>
        </w:rPr>
        <w:t>(8)</w:t>
      </w:r>
      <w:r>
        <w:t xml:space="preserve"> A közérdekű molinó, az építési reklámháló és a közterület fölé nyúló árnyékoló berendezés k</w:t>
      </w:r>
      <w:r>
        <w:t>i</w:t>
      </w:r>
      <w:r>
        <w:t>vételével molinó, ponyva vagy háló reklámhordozóként, reklámhordozót tartó berendezésként nem alkalmazható.</w:t>
      </w:r>
    </w:p>
    <w:p w:rsidR="00B62FC4" w:rsidRDefault="00B62FC4" w:rsidP="00972828">
      <w:pPr>
        <w:pStyle w:val="NormalWeb"/>
      </w:pPr>
      <w:r>
        <w:t>A funkcionális célokat szolgáló utcabútorokra vonatkozó szabályok</w:t>
      </w:r>
    </w:p>
    <w:p w:rsidR="00B62FC4" w:rsidRDefault="00B62FC4" w:rsidP="00972828">
      <w:pPr>
        <w:pStyle w:val="mt"/>
      </w:pPr>
      <w:r>
        <w:rPr>
          <w:rStyle w:val="szakasz-jel"/>
        </w:rPr>
        <w:t>19. §</w:t>
      </w:r>
      <w:r>
        <w:rPr>
          <w:rStyle w:val="jel"/>
        </w:rPr>
        <w:t xml:space="preserve"> (1)</w:t>
      </w:r>
      <w:r>
        <w:t xml:space="preserve"> A funkcionális célú utcabútoron reklámhordozót tartó berendezés – az utasváróban és a kioszkon elhelyezett CityLight formátumú eszköz kivételével – nem helyezhető el.</w:t>
      </w:r>
    </w:p>
    <w:p w:rsidR="00B62FC4" w:rsidRDefault="00B62FC4" w:rsidP="00972828">
      <w:pPr>
        <w:pStyle w:val="NormalWeb"/>
      </w:pPr>
      <w:r>
        <w:rPr>
          <w:rStyle w:val="jel"/>
        </w:rPr>
        <w:t>(2)</w:t>
      </w:r>
      <w:r>
        <w:t xml:space="preserve"> A funkcionális célokat szolgáló utcabútorként létesített információs célú berendezés reklámkö</w:t>
      </w:r>
      <w:r>
        <w:t>z</w:t>
      </w:r>
      <w:r>
        <w:t>zétételre alkalmas felületének legfeljebb kétharmadán tehető közzé reklám. A más célú berendezés reklámcélra nem használható, kivéve a közterület fölé nyúló árnyékoló berendezés esetén, amel</w:t>
      </w:r>
      <w:r>
        <w:t>y</w:t>
      </w:r>
      <w:r>
        <w:t>nek egész felülete hasznosítható reklámcélra.</w:t>
      </w:r>
    </w:p>
    <w:p w:rsidR="00B62FC4" w:rsidRDefault="00B62FC4" w:rsidP="00972828">
      <w:pPr>
        <w:pStyle w:val="NormalWeb"/>
      </w:pPr>
      <w:r>
        <w:t>Egyes utcabútorok elhelyezésére vonatkozó különleges szabályok</w:t>
      </w:r>
    </w:p>
    <w:p w:rsidR="00B62FC4" w:rsidRDefault="00B62FC4" w:rsidP="00972828">
      <w:pPr>
        <w:pStyle w:val="mt"/>
      </w:pPr>
      <w:r>
        <w:rPr>
          <w:rStyle w:val="szakasz-jel"/>
        </w:rPr>
        <w:t>20. §</w:t>
      </w:r>
      <w:r>
        <w:rPr>
          <w:rStyle w:val="jel"/>
        </w:rPr>
        <w:t xml:space="preserve"> (1)</w:t>
      </w:r>
      <w:r>
        <w:t xml:space="preserve"> Nyúl község közigazgatási területén a közművelődési intézmények számának háromszor</w:t>
      </w:r>
      <w:r>
        <w:t>o</w:t>
      </w:r>
      <w:r>
        <w:t>sával megegyező számú közművelődési célú hirdetőoszlop létesíthető. Közművelődési célú hird</w:t>
      </w:r>
      <w:r>
        <w:t>e</w:t>
      </w:r>
      <w:r>
        <w:t>tőoszlop reklám közzétételére igénybe vehető felülete a tizenkét négyzetmétert nem haladhatja meg.</w:t>
      </w:r>
    </w:p>
    <w:p w:rsidR="00B62FC4" w:rsidRDefault="00B62FC4" w:rsidP="00972828">
      <w:r>
        <w:rPr>
          <w:rStyle w:val="jel"/>
          <w:rFonts w:cs="FreeSans"/>
        </w:rPr>
        <w:t>(3)</w:t>
      </w:r>
      <w:r>
        <w:t xml:space="preserve"> Az információs célú berendezés felületének legfeljebb kétharmada vehető igénybe reklám közzétételére, felületének legalább egyharmada a </w:t>
      </w:r>
      <w:hyperlink r:id="rId7" w:anchor="SZ20@BE2" w:history="1">
        <w:r>
          <w:rPr>
            <w:rStyle w:val="Hyperlink"/>
          </w:rPr>
          <w:t>(2) bekezdés</w:t>
        </w:r>
      </w:hyperlink>
      <w:r>
        <w:t xml:space="preserve"> szerinti közérdekű információt kell, tartalmazzon.</w:t>
      </w:r>
    </w:p>
    <w:p w:rsidR="00B62FC4" w:rsidRDefault="00B62FC4" w:rsidP="00972828">
      <w:pPr>
        <w:rPr>
          <w:rStyle w:val="jel"/>
          <w:rFonts w:cs="FreeSans"/>
        </w:rPr>
      </w:pPr>
    </w:p>
    <w:p w:rsidR="00B62FC4" w:rsidRDefault="00B62FC4" w:rsidP="00972828">
      <w:r>
        <w:rPr>
          <w:rStyle w:val="jel"/>
          <w:rFonts w:cs="FreeSans"/>
        </w:rPr>
        <w:t>(4)</w:t>
      </w:r>
      <w:r>
        <w:t xml:space="preserve"> A más célú berendezés reklámcélra nem használható, kivéve a közterület fölé nyúló árnyékoló berendezés. A közterület fölé nyúló árnyékoló berendezés egész felülete hasznosítható reklámcélra.</w:t>
      </w:r>
    </w:p>
    <w:p w:rsidR="00B62FC4" w:rsidRDefault="00B62FC4" w:rsidP="00972828">
      <w:pPr>
        <w:pStyle w:val="NormalWeb"/>
      </w:pPr>
      <w:r>
        <w:rPr>
          <w:b/>
          <w:bCs/>
        </w:rPr>
        <w:t>Reklámhordozóra, reklámhordozó berendezésekre vonatkozó követelmények</w:t>
      </w:r>
    </w:p>
    <w:p w:rsidR="00B62FC4" w:rsidRDefault="00B62FC4" w:rsidP="00972828">
      <w:pPr>
        <w:pStyle w:val="mt"/>
      </w:pPr>
      <w:r>
        <w:rPr>
          <w:rStyle w:val="szakasz-jel"/>
        </w:rPr>
        <w:t>21. §</w:t>
      </w:r>
      <w:r>
        <w:rPr>
          <w:rStyle w:val="jel"/>
        </w:rPr>
        <w:t xml:space="preserve"> (1)</w:t>
      </w:r>
      <w:r>
        <w:t xml:space="preserve"> Nyúl község közterületein reklámhordozó</w:t>
      </w:r>
    </w:p>
    <w:p w:rsidR="00B62FC4" w:rsidRDefault="00B62FC4" w:rsidP="00972828">
      <w:pPr>
        <w:pStyle w:val="NormalWeb"/>
      </w:pPr>
      <w:r>
        <w:rPr>
          <w:rStyle w:val="jel"/>
        </w:rPr>
        <w:t>a)</w:t>
      </w:r>
      <w:r>
        <w:t xml:space="preserve"> horganyozott és szinterezett acélból, vagy szinterezett alumíniumból készült eszközön;</w:t>
      </w:r>
    </w:p>
    <w:p w:rsidR="00B62FC4" w:rsidRDefault="00B62FC4" w:rsidP="00972828">
      <w:pPr>
        <w:pStyle w:val="NormalWeb"/>
      </w:pPr>
      <w:r>
        <w:rPr>
          <w:rStyle w:val="jel"/>
        </w:rPr>
        <w:t>b)</w:t>
      </w:r>
      <w:r>
        <w:t xml:space="preserve"> fából készül eszközön,</w:t>
      </w:r>
    </w:p>
    <w:p w:rsidR="00B62FC4" w:rsidRDefault="00B62FC4" w:rsidP="00972828">
      <w:pPr>
        <w:pStyle w:val="NormalWeb"/>
      </w:pPr>
      <w:r>
        <w:rPr>
          <w:rStyle w:val="jel"/>
        </w:rPr>
        <w:t>c)</w:t>
      </w:r>
      <w:r>
        <w:t xml:space="preserve"> plexi vagy biztonsági üveg mögött;</w:t>
      </w:r>
    </w:p>
    <w:p w:rsidR="00B62FC4" w:rsidRDefault="00B62FC4" w:rsidP="00972828">
      <w:pPr>
        <w:pStyle w:val="NormalWeb"/>
      </w:pPr>
      <w:r>
        <w:rPr>
          <w:rStyle w:val="jel"/>
        </w:rPr>
        <w:t>d)</w:t>
      </w:r>
      <w:r>
        <w:t xml:space="preserve"> hátsó fényforrás által megvilágított eszközben;</w:t>
      </w:r>
    </w:p>
    <w:p w:rsidR="00B62FC4" w:rsidRDefault="00B62FC4" w:rsidP="00972828">
      <w:pPr>
        <w:pStyle w:val="NormalWeb"/>
      </w:pPr>
      <w:r>
        <w:rPr>
          <w:rStyle w:val="jel"/>
        </w:rPr>
        <w:t>e)</w:t>
      </w:r>
      <w:r>
        <w:t xml:space="preserve"> állandó és változó tartalmat is megjelenítő eszközön;</w:t>
      </w:r>
    </w:p>
    <w:p w:rsidR="00B62FC4" w:rsidRDefault="00B62FC4" w:rsidP="00972828">
      <w:pPr>
        <w:pStyle w:val="NormalWeb"/>
      </w:pPr>
      <w:r>
        <w:rPr>
          <w:rStyle w:val="jel"/>
        </w:rPr>
        <w:t>f)</w:t>
      </w:r>
      <w:r>
        <w:t xml:space="preserve"> egymástól számított 2 méteres távolságon belül – ide nem értve az egyetlen funkcionális célú utcabútoron történő több reklámhordozó elhelyezését – sem horizontálisan, sem vertikálisan nem</w:t>
      </w:r>
    </w:p>
    <w:p w:rsidR="00B62FC4" w:rsidRDefault="00B62FC4" w:rsidP="00972828">
      <w:pPr>
        <w:pStyle w:val="NormalWeb"/>
      </w:pPr>
      <w:r>
        <w:t>helyezhető el.</w:t>
      </w:r>
    </w:p>
    <w:p w:rsidR="00B62FC4" w:rsidRDefault="00B62FC4" w:rsidP="00972828">
      <w:pPr>
        <w:pStyle w:val="NormalWeb"/>
      </w:pPr>
      <w:r>
        <w:rPr>
          <w:rStyle w:val="jel"/>
        </w:rPr>
        <w:t>(2)</w:t>
      </w:r>
      <w:r>
        <w:t xml:space="preserve"> A közérdekű reklámfelület, az utasváró és a kioszk kivételével a reklám elhelyezésére szolgáló reklámhordozón kialakítható reklámfelület legalább egyharmadán Nyúl Község Önkormányzata az információs célú berendezésekre megállapított információk közzétételére jogosult.</w:t>
      </w:r>
    </w:p>
    <w:p w:rsidR="00B62FC4" w:rsidRDefault="00B62FC4" w:rsidP="00972828">
      <w:pPr>
        <w:pStyle w:val="NormalWeb"/>
      </w:pPr>
    </w:p>
    <w:p w:rsidR="00B62FC4" w:rsidRDefault="00B62FC4" w:rsidP="00972828">
      <w:pPr>
        <w:pStyle w:val="NormalWeb"/>
      </w:pPr>
      <w:r>
        <w:rPr>
          <w:b/>
          <w:bCs/>
        </w:rPr>
        <w:t>Építési reklámháló kihelyezésének engedélyezése</w:t>
      </w:r>
    </w:p>
    <w:p w:rsidR="00B62FC4" w:rsidRDefault="00B62FC4" w:rsidP="00E205E8">
      <w:pPr>
        <w:pStyle w:val="mt"/>
      </w:pPr>
      <w:r>
        <w:rPr>
          <w:rStyle w:val="szakasz-jel"/>
        </w:rPr>
        <w:t>24. §</w:t>
      </w:r>
      <w:r>
        <w:rPr>
          <w:rStyle w:val="jel"/>
        </w:rPr>
        <w:t xml:space="preserve"> (2)</w:t>
      </w:r>
      <w:r>
        <w:t xml:space="preserve"> Egy épület azonos közterületre néző homlokzatán kizárólag egy építési reklámháló h</w:t>
      </w:r>
      <w:r>
        <w:t>e</w:t>
      </w:r>
      <w:r>
        <w:t>lyezhető el.</w:t>
      </w:r>
    </w:p>
    <w:sectPr w:rsidR="00B62FC4" w:rsidSect="00591771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FC4" w:rsidRDefault="00B62FC4" w:rsidP="00591771">
      <w:r>
        <w:separator/>
      </w:r>
    </w:p>
  </w:endnote>
  <w:endnote w:type="continuationSeparator" w:id="0">
    <w:p w:rsidR="00B62FC4" w:rsidRDefault="00B62FC4" w:rsidP="00591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C4" w:rsidRDefault="00B62FC4">
    <w:pPr>
      <w:pStyle w:val="Footer"/>
      <w:jc w:val="center"/>
    </w:pPr>
    <w:fldSimple w:instr="PAGE">
      <w:r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FC4" w:rsidRDefault="00B62FC4" w:rsidP="00591771">
      <w:r>
        <w:separator/>
      </w:r>
    </w:p>
  </w:footnote>
  <w:footnote w:type="continuationSeparator" w:id="0">
    <w:p w:rsidR="00B62FC4" w:rsidRDefault="00B62FC4" w:rsidP="005917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607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771"/>
    <w:rsid w:val="00005F6F"/>
    <w:rsid w:val="00144DA9"/>
    <w:rsid w:val="00163352"/>
    <w:rsid w:val="00215781"/>
    <w:rsid w:val="00365AB7"/>
    <w:rsid w:val="004A6FF7"/>
    <w:rsid w:val="00591771"/>
    <w:rsid w:val="007A2D4C"/>
    <w:rsid w:val="008D00CB"/>
    <w:rsid w:val="00972828"/>
    <w:rsid w:val="009D1661"/>
    <w:rsid w:val="00B06591"/>
    <w:rsid w:val="00B62FC4"/>
    <w:rsid w:val="00E205E8"/>
    <w:rsid w:val="00EB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71"/>
    <w:pPr>
      <w:suppressAutoHyphens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59177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59177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59177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591771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591771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591771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4DA9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4DA9"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4DA9"/>
    <w:rPr>
      <w:rFonts w:ascii="Cambria" w:hAnsi="Cambria" w:cs="Mangal"/>
      <w:b/>
      <w:bCs/>
      <w:kern w:val="2"/>
      <w:sz w:val="23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4DA9"/>
    <w:rPr>
      <w:rFonts w:ascii="Calibri" w:hAnsi="Calibri" w:cs="Mangal"/>
      <w:b/>
      <w:bCs/>
      <w:kern w:val="2"/>
      <w:sz w:val="25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4DA9"/>
    <w:rPr>
      <w:rFonts w:ascii="Calibri" w:hAnsi="Calibri" w:cs="Mangal"/>
      <w:b/>
      <w:bCs/>
      <w:i/>
      <w:iCs/>
      <w:kern w:val="2"/>
      <w:sz w:val="23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44DA9"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paragraph" w:customStyle="1" w:styleId="Heading">
    <w:name w:val="Heading"/>
    <w:basedOn w:val="Normal"/>
    <w:next w:val="BodyText"/>
    <w:uiPriority w:val="99"/>
    <w:rsid w:val="0059177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91771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4DA9"/>
    <w:rPr>
      <w:rFonts w:ascii="Times New Roman" w:hAnsi="Times New Roman" w:cs="Mangal"/>
      <w:kern w:val="2"/>
      <w:sz w:val="21"/>
      <w:szCs w:val="21"/>
      <w:lang w:eastAsia="zh-CN" w:bidi="hi-IN"/>
    </w:rPr>
  </w:style>
  <w:style w:type="character" w:styleId="Hyperlink">
    <w:name w:val="Hyperlink"/>
    <w:basedOn w:val="DefaultParagraphFont"/>
    <w:uiPriority w:val="99"/>
    <w:rsid w:val="00591771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591771"/>
    <w:rPr>
      <w:rFonts w:cs="Times New Roman"/>
      <w:color w:val="800000"/>
      <w:u w:val="single"/>
    </w:rPr>
  </w:style>
  <w:style w:type="character" w:customStyle="1" w:styleId="NumberingSymbols">
    <w:name w:val="Numbering Symbols"/>
    <w:uiPriority w:val="99"/>
    <w:rsid w:val="00591771"/>
  </w:style>
  <w:style w:type="character" w:customStyle="1" w:styleId="Bullets">
    <w:name w:val="Bullets"/>
    <w:uiPriority w:val="99"/>
    <w:rsid w:val="00591771"/>
    <w:rPr>
      <w:rFonts w:ascii="OpenSymbol" w:hAnsi="OpenSymbol"/>
    </w:rPr>
  </w:style>
  <w:style w:type="paragraph" w:styleId="List">
    <w:name w:val="List"/>
    <w:basedOn w:val="BodyText"/>
    <w:uiPriority w:val="99"/>
    <w:rsid w:val="00591771"/>
  </w:style>
  <w:style w:type="paragraph" w:styleId="Caption">
    <w:name w:val="caption"/>
    <w:basedOn w:val="Normal"/>
    <w:uiPriority w:val="99"/>
    <w:qFormat/>
    <w:rsid w:val="005917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591771"/>
    <w:pPr>
      <w:suppressLineNumbers/>
    </w:pPr>
  </w:style>
  <w:style w:type="paragraph" w:customStyle="1" w:styleId="HeaderandFooter">
    <w:name w:val="Header and Footer"/>
    <w:basedOn w:val="Normal"/>
    <w:uiPriority w:val="99"/>
    <w:rsid w:val="00591771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591771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4DA9"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customStyle="1" w:styleId="TableContents">
    <w:name w:val="Table Contents"/>
    <w:basedOn w:val="Normal"/>
    <w:uiPriority w:val="99"/>
    <w:rsid w:val="00591771"/>
    <w:pPr>
      <w:suppressLineNumbers/>
    </w:pPr>
  </w:style>
  <w:style w:type="paragraph" w:customStyle="1" w:styleId="TableHeading">
    <w:name w:val="Table Heading"/>
    <w:basedOn w:val="TableContents"/>
    <w:uiPriority w:val="99"/>
    <w:rsid w:val="00591771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591771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akasz-jel">
    <w:name w:val="szakasz-jel"/>
    <w:basedOn w:val="DefaultParagraphFont"/>
    <w:uiPriority w:val="99"/>
    <w:rsid w:val="00972828"/>
    <w:rPr>
      <w:rFonts w:cs="Times New Roman"/>
    </w:rPr>
  </w:style>
  <w:style w:type="character" w:customStyle="1" w:styleId="jel">
    <w:name w:val="jel"/>
    <w:basedOn w:val="DefaultParagraphFont"/>
    <w:uiPriority w:val="99"/>
    <w:rsid w:val="00972828"/>
    <w:rPr>
      <w:rFonts w:cs="Times New Roman"/>
    </w:rPr>
  </w:style>
  <w:style w:type="paragraph" w:styleId="NormalWeb">
    <w:name w:val="Normal (Web)"/>
    <w:basedOn w:val="Normal"/>
    <w:uiPriority w:val="99"/>
    <w:rsid w:val="00972828"/>
    <w:pPr>
      <w:suppressAutoHyphens w:val="0"/>
      <w:spacing w:before="100" w:beforeAutospacing="1" w:after="100" w:afterAutospacing="1"/>
    </w:pPr>
    <w:rPr>
      <w:rFonts w:cs="Times New Roman"/>
      <w:kern w:val="0"/>
      <w:lang w:eastAsia="hu-HU" w:bidi="ar-SA"/>
    </w:rPr>
  </w:style>
  <w:style w:type="paragraph" w:customStyle="1" w:styleId="mt">
    <w:name w:val="mt"/>
    <w:basedOn w:val="Normal"/>
    <w:uiPriority w:val="99"/>
    <w:rsid w:val="00972828"/>
    <w:pPr>
      <w:suppressAutoHyphens w:val="0"/>
      <w:spacing w:before="100" w:beforeAutospacing="1" w:after="100" w:afterAutospacing="1"/>
    </w:pPr>
    <w:rPr>
      <w:rFonts w:cs="Times New Roman"/>
      <w:kern w:val="0"/>
      <w:lang w:eastAsia="hu-HU" w:bidi="ar-SA"/>
    </w:rPr>
  </w:style>
  <w:style w:type="paragraph" w:customStyle="1" w:styleId="al">
    <w:name w:val="al"/>
    <w:basedOn w:val="Normal"/>
    <w:uiPriority w:val="99"/>
    <w:rsid w:val="00972828"/>
    <w:pPr>
      <w:suppressAutoHyphens w:val="0"/>
      <w:spacing w:before="100" w:beforeAutospacing="1" w:after="100" w:afterAutospacing="1"/>
    </w:pPr>
    <w:rPr>
      <w:rFonts w:cs="Times New Roman"/>
      <w:kern w:val="0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1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.njt.hu/eli/v01/727815/r/2017/23/2023-09-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3</Pages>
  <Words>697</Words>
  <Characters>4810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Önkormányzata Képviselő-testületének </dc:title>
  <dc:subject/>
  <dc:creator/>
  <cp:keywords/>
  <dc:description/>
  <cp:lastModifiedBy>anett</cp:lastModifiedBy>
  <cp:revision>5</cp:revision>
  <cp:lastPrinted>2024-01-29T15:01:00Z</cp:lastPrinted>
  <dcterms:created xsi:type="dcterms:W3CDTF">2024-01-17T09:07:00Z</dcterms:created>
  <dcterms:modified xsi:type="dcterms:W3CDTF">2024-03-06T07:56:00Z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3.9013323868572E-305</vt:r8>
  </property>
</Properties>
</file>