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D904D" w14:textId="44F7FA27" w:rsidR="009405C2" w:rsidRDefault="00145D41" w:rsidP="0037476A">
      <w:pPr>
        <w:pStyle w:val="Default"/>
        <w:jc w:val="center"/>
        <w:rPr>
          <w:rFonts w:ascii="Times New Roman" w:hAnsi="Times New Roman" w:cs="Times New Roman"/>
          <w:b/>
          <w:bCs/>
        </w:rPr>
      </w:pPr>
      <w:r w:rsidRPr="00145D41">
        <w:rPr>
          <w:rFonts w:ascii="Times New Roman" w:hAnsi="Times New Roman" w:cs="Times New Roman"/>
          <w:b/>
          <w:bCs/>
        </w:rPr>
        <w:t>E l ő t e r j e s z t é s</w:t>
      </w:r>
    </w:p>
    <w:p w14:paraId="78448AAC" w14:textId="7888E6E3" w:rsidR="00145D41" w:rsidRDefault="00145D41" w:rsidP="0037476A">
      <w:pPr>
        <w:pStyle w:val="Default"/>
        <w:jc w:val="center"/>
        <w:rPr>
          <w:rFonts w:ascii="Times New Roman" w:hAnsi="Times New Roman" w:cs="Times New Roman"/>
          <w:b/>
          <w:bCs/>
        </w:rPr>
      </w:pPr>
    </w:p>
    <w:p w14:paraId="370E7CCA" w14:textId="77777777" w:rsidR="00145D41" w:rsidRPr="00145D41" w:rsidRDefault="00145D41" w:rsidP="0037476A">
      <w:pPr>
        <w:pStyle w:val="Default"/>
        <w:jc w:val="center"/>
        <w:rPr>
          <w:rFonts w:ascii="Times New Roman" w:hAnsi="Times New Roman" w:cs="Times New Roman"/>
          <w:b/>
          <w:bCs/>
        </w:rPr>
      </w:pPr>
    </w:p>
    <w:p w14:paraId="6965D647" w14:textId="38A1AEC5" w:rsidR="009405C2" w:rsidRDefault="009405C2" w:rsidP="00BA7EA6">
      <w:pPr>
        <w:pStyle w:val="Default"/>
        <w:jc w:val="center"/>
        <w:rPr>
          <w:rFonts w:ascii="Times New Roman" w:hAnsi="Times New Roman" w:cs="Times New Roman"/>
        </w:rPr>
      </w:pPr>
    </w:p>
    <w:p w14:paraId="2DBA8260" w14:textId="21AB5566" w:rsidR="00145D41" w:rsidRDefault="00145D41" w:rsidP="00BA7EA6">
      <w:pPr>
        <w:pStyle w:val="Default"/>
        <w:jc w:val="center"/>
        <w:rPr>
          <w:rFonts w:ascii="Times New Roman" w:hAnsi="Times New Roman" w:cs="Times New Roman"/>
        </w:rPr>
      </w:pPr>
      <w:r>
        <w:rPr>
          <w:rFonts w:ascii="Times New Roman" w:hAnsi="Times New Roman" w:cs="Times New Roman"/>
        </w:rPr>
        <w:t>Nyúl Község Önkormányzat Képviselő-testületének 2021. november 30. napján tartandó ülésére</w:t>
      </w:r>
    </w:p>
    <w:p w14:paraId="02DA48D3" w14:textId="77777777" w:rsidR="00BA7EA6" w:rsidRDefault="00BA7EA6" w:rsidP="00BA7EA6">
      <w:pPr>
        <w:pStyle w:val="Default"/>
        <w:jc w:val="center"/>
        <w:rPr>
          <w:rFonts w:ascii="Times New Roman" w:hAnsi="Times New Roman" w:cs="Times New Roman"/>
        </w:rPr>
      </w:pPr>
    </w:p>
    <w:p w14:paraId="0B2870C4" w14:textId="77777777" w:rsidR="00BA7EA6" w:rsidRDefault="00BA7EA6" w:rsidP="00BA7EA6">
      <w:pPr>
        <w:pStyle w:val="Default"/>
        <w:jc w:val="center"/>
        <w:rPr>
          <w:rFonts w:ascii="Times New Roman" w:hAnsi="Times New Roman" w:cs="Times New Roman"/>
        </w:rPr>
      </w:pPr>
    </w:p>
    <w:p w14:paraId="6333180A" w14:textId="77777777" w:rsidR="00A431CE" w:rsidRPr="004B4E41" w:rsidRDefault="00A431CE" w:rsidP="008B3A73">
      <w:pPr>
        <w:pStyle w:val="Default"/>
        <w:jc w:val="both"/>
        <w:rPr>
          <w:rFonts w:ascii="Times New Roman" w:hAnsi="Times New Roman" w:cs="Times New Roman"/>
        </w:rPr>
      </w:pPr>
    </w:p>
    <w:p w14:paraId="4068087B" w14:textId="77777777" w:rsidR="009405C2" w:rsidRPr="004B4E41" w:rsidRDefault="009405C2" w:rsidP="00BA7EA6">
      <w:pPr>
        <w:pStyle w:val="lfej"/>
        <w:tabs>
          <w:tab w:val="clear" w:pos="4536"/>
          <w:tab w:val="clear" w:pos="9072"/>
        </w:tabs>
        <w:jc w:val="both"/>
        <w:rPr>
          <w:rFonts w:ascii="Times New Roman" w:hAnsi="Times New Roman"/>
          <w:b/>
          <w:bCs/>
          <w:sz w:val="24"/>
          <w:szCs w:val="24"/>
        </w:rPr>
      </w:pPr>
    </w:p>
    <w:p w14:paraId="6EB866C5" w14:textId="77777777" w:rsidR="00373C33" w:rsidRDefault="00373C33" w:rsidP="00894C3B">
      <w:pPr>
        <w:rPr>
          <w:rFonts w:ascii="Times New Roman" w:hAnsi="Times New Roman"/>
          <w:sz w:val="24"/>
          <w:szCs w:val="24"/>
          <w:lang w:eastAsia="hu-HU"/>
        </w:rPr>
      </w:pPr>
    </w:p>
    <w:p w14:paraId="334B7473" w14:textId="16C5D801" w:rsidR="00373C33" w:rsidRDefault="00280A24" w:rsidP="00894C3B">
      <w:pPr>
        <w:rPr>
          <w:rFonts w:ascii="Times New Roman" w:hAnsi="Times New Roman"/>
          <w:sz w:val="24"/>
          <w:szCs w:val="24"/>
          <w:lang w:eastAsia="hu-HU"/>
        </w:rPr>
      </w:pPr>
      <w:r>
        <w:rPr>
          <w:rFonts w:ascii="Times New Roman" w:hAnsi="Times New Roman"/>
          <w:sz w:val="24"/>
          <w:szCs w:val="24"/>
          <w:lang w:eastAsia="hu-HU"/>
        </w:rPr>
        <w:t>Tisztelt Képviselő-testület!</w:t>
      </w:r>
    </w:p>
    <w:p w14:paraId="3EFC60C0" w14:textId="73187D0A" w:rsidR="003616F3" w:rsidRDefault="003616F3" w:rsidP="00894C3B">
      <w:pPr>
        <w:rPr>
          <w:rFonts w:ascii="Times New Roman" w:hAnsi="Times New Roman"/>
          <w:sz w:val="24"/>
          <w:szCs w:val="24"/>
          <w:lang w:eastAsia="hu-HU"/>
        </w:rPr>
      </w:pPr>
    </w:p>
    <w:p w14:paraId="0D81D9EE" w14:textId="77D9DD50" w:rsidR="003616F3" w:rsidRDefault="003616F3" w:rsidP="00894C3B">
      <w:pPr>
        <w:rPr>
          <w:rFonts w:ascii="Times New Roman" w:hAnsi="Times New Roman"/>
          <w:sz w:val="24"/>
          <w:szCs w:val="24"/>
          <w:lang w:eastAsia="hu-HU"/>
        </w:rPr>
      </w:pPr>
      <w:r>
        <w:rPr>
          <w:rFonts w:ascii="Times New Roman" w:hAnsi="Times New Roman"/>
          <w:sz w:val="24"/>
          <w:szCs w:val="24"/>
          <w:lang w:eastAsia="hu-HU"/>
        </w:rPr>
        <w:t>Az 1991. évi XX. törvény 138.§. (3) bekezdés g) pontja szerint a képviselő – testületet tájékoztatni kell az adóztatási feladatok ellátásáról.</w:t>
      </w:r>
    </w:p>
    <w:p w14:paraId="6D48DD91" w14:textId="46A69237" w:rsidR="007A7DB5" w:rsidRPr="003616F3" w:rsidRDefault="003616F3" w:rsidP="003616F3">
      <w:pPr>
        <w:rPr>
          <w:rFonts w:ascii="Times New Roman" w:hAnsi="Times New Roman"/>
          <w:sz w:val="24"/>
          <w:szCs w:val="24"/>
          <w:lang w:eastAsia="hu-HU"/>
        </w:rPr>
      </w:pPr>
      <w:r>
        <w:rPr>
          <w:rFonts w:ascii="Times New Roman" w:hAnsi="Times New Roman"/>
          <w:sz w:val="24"/>
          <w:szCs w:val="24"/>
          <w:lang w:eastAsia="hu-HU"/>
        </w:rPr>
        <w:t>E kötelezettségnek eleget téve készült el az írásos tájékoztató anyag.</w:t>
      </w:r>
    </w:p>
    <w:p w14:paraId="1F68E6CF" w14:textId="77777777" w:rsidR="00FF43BD" w:rsidRPr="00FF43BD" w:rsidRDefault="00FF43BD" w:rsidP="00FF43BD">
      <w:pPr>
        <w:rPr>
          <w:lang w:eastAsia="hu-HU"/>
        </w:rPr>
      </w:pPr>
    </w:p>
    <w:p w14:paraId="166B52AB" w14:textId="3F12F914" w:rsidR="00424D18" w:rsidRPr="007A7DB5" w:rsidRDefault="00424D18" w:rsidP="00FF43BD">
      <w:pPr>
        <w:ind w:firstLine="360"/>
        <w:jc w:val="both"/>
        <w:rPr>
          <w:rFonts w:ascii="Times New Roman" w:hAnsi="Times New Roman"/>
          <w:sz w:val="24"/>
          <w:szCs w:val="24"/>
          <w:lang w:eastAsia="hu-HU"/>
        </w:rPr>
      </w:pPr>
      <w:r w:rsidRPr="007A7DB5">
        <w:rPr>
          <w:rFonts w:ascii="Times New Roman" w:hAnsi="Times New Roman"/>
          <w:sz w:val="24"/>
          <w:szCs w:val="24"/>
          <w:lang w:eastAsia="hu-HU"/>
        </w:rPr>
        <w:t xml:space="preserve">Az államon belüli kisebb közösségek, </w:t>
      </w:r>
      <w:r w:rsidR="003616F3">
        <w:rPr>
          <w:rFonts w:ascii="Times New Roman" w:hAnsi="Times New Roman"/>
          <w:sz w:val="24"/>
          <w:szCs w:val="24"/>
          <w:lang w:eastAsia="hu-HU"/>
        </w:rPr>
        <w:t>települések</w:t>
      </w:r>
      <w:r w:rsidRPr="007A7DB5">
        <w:rPr>
          <w:rFonts w:ascii="Times New Roman" w:hAnsi="Times New Roman"/>
          <w:sz w:val="24"/>
          <w:szCs w:val="24"/>
          <w:lang w:eastAsia="hu-HU"/>
        </w:rPr>
        <w:t xml:space="preserve"> működése érdekében a központi hatalom bizonyos bevételforrásokról lemondani kényszerül, melyeket összefoglaló néven helyi adóknak nevezünk. A helyi adók a helyben keletkező feladatok ellátását, a közszolgáltatások megfelelő színvonalon történő ellátását igyekszik biztosítani</w:t>
      </w:r>
      <w:r w:rsidR="00ED2051" w:rsidRPr="007A7DB5">
        <w:rPr>
          <w:rFonts w:ascii="Times New Roman" w:hAnsi="Times New Roman"/>
          <w:sz w:val="24"/>
          <w:szCs w:val="24"/>
          <w:lang w:eastAsia="hu-HU"/>
        </w:rPr>
        <w:t xml:space="preserve">, a </w:t>
      </w:r>
      <w:r w:rsidR="003616F3">
        <w:rPr>
          <w:rFonts w:ascii="Times New Roman" w:hAnsi="Times New Roman"/>
          <w:sz w:val="24"/>
          <w:szCs w:val="24"/>
          <w:lang w:eastAsia="hu-HU"/>
        </w:rPr>
        <w:t>települések</w:t>
      </w:r>
      <w:r w:rsidR="00ED2051" w:rsidRPr="007A7DB5">
        <w:rPr>
          <w:rFonts w:ascii="Times New Roman" w:hAnsi="Times New Roman"/>
          <w:sz w:val="24"/>
          <w:szCs w:val="24"/>
          <w:lang w:eastAsia="hu-HU"/>
        </w:rPr>
        <w:t xml:space="preserve"> működését és versenyképességét hivatott ellátni</w:t>
      </w:r>
      <w:r w:rsidRPr="007A7DB5">
        <w:rPr>
          <w:rFonts w:ascii="Times New Roman" w:hAnsi="Times New Roman"/>
          <w:sz w:val="24"/>
          <w:szCs w:val="24"/>
          <w:lang w:eastAsia="hu-HU"/>
        </w:rPr>
        <w:t xml:space="preserve">. </w:t>
      </w:r>
    </w:p>
    <w:p w14:paraId="2E4F17D4" w14:textId="5166D32A" w:rsidR="00424D18" w:rsidRDefault="006D5969" w:rsidP="00AE10F4">
      <w:pPr>
        <w:jc w:val="both"/>
        <w:rPr>
          <w:rFonts w:ascii="Times New Roman" w:hAnsi="Times New Roman"/>
          <w:sz w:val="24"/>
          <w:szCs w:val="24"/>
          <w:lang w:eastAsia="hu-HU"/>
        </w:rPr>
      </w:pPr>
      <w:r w:rsidRPr="006D5969">
        <w:rPr>
          <w:rFonts w:ascii="Times New Roman" w:hAnsi="Times New Roman"/>
          <w:sz w:val="24"/>
          <w:szCs w:val="24"/>
          <w:lang w:eastAsia="hu-HU"/>
        </w:rPr>
        <w:t>A jelenleg</w:t>
      </w:r>
      <w:r w:rsidR="00AE10F4">
        <w:rPr>
          <w:rFonts w:ascii="Times New Roman" w:hAnsi="Times New Roman"/>
          <w:sz w:val="24"/>
          <w:szCs w:val="24"/>
          <w:lang w:eastAsia="hu-HU"/>
        </w:rPr>
        <w:t xml:space="preserve">i </w:t>
      </w:r>
      <w:r w:rsidRPr="006D5969">
        <w:rPr>
          <w:rFonts w:ascii="Times New Roman" w:hAnsi="Times New Roman"/>
          <w:sz w:val="24"/>
          <w:szCs w:val="24"/>
          <w:lang w:eastAsia="hu-HU"/>
        </w:rPr>
        <w:t>helyi adórendszer kialakításának elsődleges célja az önkormányzatok gazdálkodásának megalapozása, a központi rendszertől történő függetlenítés kialakítása volt. A központi kormányzat a helyi adó törvényen és a hozzá kapcsolódó végrehajtási rendeleteken keresztül határozza meg a</w:t>
      </w:r>
      <w:r>
        <w:rPr>
          <w:rFonts w:ascii="Times New Roman" w:hAnsi="Times New Roman"/>
          <w:sz w:val="24"/>
          <w:szCs w:val="24"/>
          <w:lang w:eastAsia="hu-HU"/>
        </w:rPr>
        <w:t>z</w:t>
      </w:r>
      <w:r w:rsidRPr="006D5969">
        <w:rPr>
          <w:rFonts w:ascii="Times New Roman" w:hAnsi="Times New Roman"/>
          <w:sz w:val="24"/>
          <w:szCs w:val="24"/>
          <w:lang w:eastAsia="hu-HU"/>
        </w:rPr>
        <w:t xml:space="preserve"> önkormányzati döntési autonómiára épülő helyi adórendszer kereteit, feltételeit</w:t>
      </w:r>
      <w:r w:rsidR="00ED2051">
        <w:rPr>
          <w:rFonts w:ascii="Times New Roman" w:hAnsi="Times New Roman"/>
          <w:sz w:val="24"/>
          <w:szCs w:val="24"/>
          <w:lang w:eastAsia="hu-HU"/>
        </w:rPr>
        <w:t>, valamint korlátait</w:t>
      </w:r>
      <w:r w:rsidRPr="006D5969">
        <w:rPr>
          <w:rFonts w:ascii="Times New Roman" w:hAnsi="Times New Roman"/>
          <w:sz w:val="24"/>
          <w:szCs w:val="24"/>
          <w:lang w:eastAsia="hu-HU"/>
        </w:rPr>
        <w:t>. A helyi adóval kapcsolatos önkormányz</w:t>
      </w:r>
      <w:r w:rsidR="00887E09">
        <w:rPr>
          <w:rFonts w:ascii="Times New Roman" w:hAnsi="Times New Roman"/>
          <w:sz w:val="24"/>
          <w:szCs w:val="24"/>
          <w:lang w:eastAsia="hu-HU"/>
        </w:rPr>
        <w:t>ati döntések elsődleges motiválója</w:t>
      </w:r>
      <w:r w:rsidRPr="006D5969">
        <w:rPr>
          <w:rFonts w:ascii="Times New Roman" w:hAnsi="Times New Roman"/>
          <w:sz w:val="24"/>
          <w:szCs w:val="24"/>
          <w:lang w:eastAsia="hu-HU"/>
        </w:rPr>
        <w:t xml:space="preserve"> a költségvetés rövid távú bevételi szükséglete.</w:t>
      </w:r>
      <w:r>
        <w:rPr>
          <w:rFonts w:ascii="Times New Roman" w:hAnsi="Times New Roman"/>
          <w:sz w:val="24"/>
          <w:szCs w:val="24"/>
          <w:lang w:eastAsia="hu-HU"/>
        </w:rPr>
        <w:t xml:space="preserve"> </w:t>
      </w:r>
      <w:r w:rsidR="00424D18" w:rsidRPr="00424D18">
        <w:rPr>
          <w:rFonts w:ascii="Times New Roman" w:hAnsi="Times New Roman"/>
          <w:sz w:val="24"/>
          <w:szCs w:val="24"/>
          <w:lang w:eastAsia="hu-HU"/>
        </w:rPr>
        <w:t xml:space="preserve">A helyi önkormányzat gazdálkodásának kereteit </w:t>
      </w:r>
      <w:r>
        <w:rPr>
          <w:rFonts w:ascii="Times New Roman" w:hAnsi="Times New Roman"/>
          <w:sz w:val="24"/>
          <w:szCs w:val="24"/>
          <w:lang w:eastAsia="hu-HU"/>
        </w:rPr>
        <w:t xml:space="preserve">ugyanakkor </w:t>
      </w:r>
      <w:r w:rsidR="00424D18" w:rsidRPr="00424D18">
        <w:rPr>
          <w:rFonts w:ascii="Times New Roman" w:hAnsi="Times New Roman"/>
          <w:sz w:val="24"/>
          <w:szCs w:val="24"/>
          <w:lang w:eastAsia="hu-HU"/>
        </w:rPr>
        <w:t>a törvényhozás</w:t>
      </w:r>
      <w:r w:rsidR="00424D18">
        <w:rPr>
          <w:rFonts w:ascii="Times New Roman" w:hAnsi="Times New Roman"/>
          <w:sz w:val="24"/>
          <w:szCs w:val="24"/>
          <w:lang w:eastAsia="hu-HU"/>
        </w:rPr>
        <w:t xml:space="preserve"> teremti meg</w:t>
      </w:r>
      <w:r w:rsidR="00424D18" w:rsidRPr="00424D18">
        <w:rPr>
          <w:rFonts w:ascii="Times New Roman" w:hAnsi="Times New Roman"/>
          <w:sz w:val="24"/>
          <w:szCs w:val="24"/>
          <w:lang w:eastAsia="hu-HU"/>
        </w:rPr>
        <w:t xml:space="preserve">, </w:t>
      </w:r>
      <w:r w:rsidR="00424D18">
        <w:rPr>
          <w:rFonts w:ascii="Times New Roman" w:hAnsi="Times New Roman"/>
          <w:sz w:val="24"/>
          <w:szCs w:val="24"/>
          <w:lang w:eastAsia="hu-HU"/>
        </w:rPr>
        <w:t>megvalósítását a</w:t>
      </w:r>
      <w:r w:rsidR="00424D18" w:rsidRPr="00424D18">
        <w:rPr>
          <w:rFonts w:ascii="Times New Roman" w:hAnsi="Times New Roman"/>
          <w:sz w:val="24"/>
          <w:szCs w:val="24"/>
          <w:lang w:eastAsia="hu-HU"/>
        </w:rPr>
        <w:t xml:space="preserve"> kormányzat gazdaság- és adópolitikája </w:t>
      </w:r>
      <w:r w:rsidR="00424D18">
        <w:rPr>
          <w:rFonts w:ascii="Times New Roman" w:hAnsi="Times New Roman"/>
          <w:sz w:val="24"/>
          <w:szCs w:val="24"/>
          <w:lang w:eastAsia="hu-HU"/>
        </w:rPr>
        <w:t>határozza meg. Az állam szerepe megnyilvánul egyrészt, az adóztatási jog átadásában az</w:t>
      </w:r>
      <w:r w:rsidR="00887E09">
        <w:rPr>
          <w:rFonts w:ascii="Times New Roman" w:hAnsi="Times New Roman"/>
          <w:sz w:val="24"/>
          <w:szCs w:val="24"/>
          <w:lang w:eastAsia="hu-HU"/>
        </w:rPr>
        <w:t xml:space="preserve"> ö</w:t>
      </w:r>
      <w:r w:rsidR="00424D18" w:rsidRPr="00424D18">
        <w:rPr>
          <w:rFonts w:ascii="Times New Roman" w:hAnsi="Times New Roman"/>
          <w:sz w:val="24"/>
          <w:szCs w:val="24"/>
          <w:lang w:eastAsia="hu-HU"/>
        </w:rPr>
        <w:t>nkormányzat</w:t>
      </w:r>
      <w:r w:rsidR="00887E09">
        <w:rPr>
          <w:rFonts w:ascii="Times New Roman" w:hAnsi="Times New Roman"/>
          <w:sz w:val="24"/>
          <w:szCs w:val="24"/>
          <w:lang w:eastAsia="hu-HU"/>
        </w:rPr>
        <w:t>o</w:t>
      </w:r>
      <w:r w:rsidR="00424D18" w:rsidRPr="00424D18">
        <w:rPr>
          <w:rFonts w:ascii="Times New Roman" w:hAnsi="Times New Roman"/>
          <w:sz w:val="24"/>
          <w:szCs w:val="24"/>
          <w:lang w:eastAsia="hu-HU"/>
        </w:rPr>
        <w:t xml:space="preserve">k </w:t>
      </w:r>
      <w:r w:rsidR="00424D18">
        <w:rPr>
          <w:rFonts w:ascii="Times New Roman" w:hAnsi="Times New Roman"/>
          <w:sz w:val="24"/>
          <w:szCs w:val="24"/>
          <w:lang w:eastAsia="hu-HU"/>
        </w:rPr>
        <w:t>számára</w:t>
      </w:r>
      <w:r w:rsidR="00424D18" w:rsidRPr="00424D18">
        <w:rPr>
          <w:rFonts w:ascii="Times New Roman" w:hAnsi="Times New Roman"/>
          <w:sz w:val="24"/>
          <w:szCs w:val="24"/>
          <w:lang w:eastAsia="hu-HU"/>
        </w:rPr>
        <w:t xml:space="preserve">, </w:t>
      </w:r>
      <w:r w:rsidR="00424D18">
        <w:rPr>
          <w:rFonts w:ascii="Times New Roman" w:hAnsi="Times New Roman"/>
          <w:sz w:val="24"/>
          <w:szCs w:val="24"/>
          <w:lang w:eastAsia="hu-HU"/>
        </w:rPr>
        <w:t>másrészt annak ellenőrzésében, illetve</w:t>
      </w:r>
      <w:r w:rsidR="00424D18" w:rsidRPr="00424D18">
        <w:rPr>
          <w:rFonts w:ascii="Times New Roman" w:hAnsi="Times New Roman"/>
          <w:sz w:val="24"/>
          <w:szCs w:val="24"/>
          <w:lang w:eastAsia="hu-HU"/>
        </w:rPr>
        <w:t xml:space="preserve"> </w:t>
      </w:r>
      <w:r w:rsidR="007D4103">
        <w:rPr>
          <w:rFonts w:ascii="Times New Roman" w:hAnsi="Times New Roman"/>
          <w:sz w:val="24"/>
          <w:szCs w:val="24"/>
          <w:lang w:eastAsia="hu-HU"/>
        </w:rPr>
        <w:t>az adóztatás folyamatának</w:t>
      </w:r>
      <w:r w:rsidR="00424D18" w:rsidRPr="00424D18">
        <w:rPr>
          <w:rFonts w:ascii="Times New Roman" w:hAnsi="Times New Roman"/>
          <w:sz w:val="24"/>
          <w:szCs w:val="24"/>
          <w:lang w:eastAsia="hu-HU"/>
        </w:rPr>
        <w:t xml:space="preserve"> jogszabályi ke</w:t>
      </w:r>
      <w:r w:rsidR="00424D18">
        <w:rPr>
          <w:rFonts w:ascii="Times New Roman" w:hAnsi="Times New Roman"/>
          <w:sz w:val="24"/>
          <w:szCs w:val="24"/>
          <w:lang w:eastAsia="hu-HU"/>
        </w:rPr>
        <w:t xml:space="preserve">retek közé szorított gyakorlásában. A felhatalmazott adóztatási jog az </w:t>
      </w:r>
      <w:r w:rsidR="00887E09">
        <w:rPr>
          <w:rFonts w:ascii="Times New Roman" w:hAnsi="Times New Roman"/>
          <w:sz w:val="24"/>
          <w:szCs w:val="24"/>
          <w:lang w:eastAsia="hu-HU"/>
        </w:rPr>
        <w:t>ö</w:t>
      </w:r>
      <w:r w:rsidR="00424D18" w:rsidRPr="00424D18">
        <w:rPr>
          <w:rFonts w:ascii="Times New Roman" w:hAnsi="Times New Roman"/>
          <w:sz w:val="24"/>
          <w:szCs w:val="24"/>
          <w:lang w:eastAsia="hu-HU"/>
        </w:rPr>
        <w:t xml:space="preserve">nkormányzatok </w:t>
      </w:r>
      <w:r w:rsidR="00424D18">
        <w:rPr>
          <w:rFonts w:ascii="Times New Roman" w:hAnsi="Times New Roman"/>
          <w:sz w:val="24"/>
          <w:szCs w:val="24"/>
          <w:lang w:eastAsia="hu-HU"/>
        </w:rPr>
        <w:t xml:space="preserve">esetében </w:t>
      </w:r>
      <w:r w:rsidR="00424D18" w:rsidRPr="00424D18">
        <w:rPr>
          <w:rFonts w:ascii="Times New Roman" w:hAnsi="Times New Roman"/>
          <w:sz w:val="24"/>
          <w:szCs w:val="24"/>
          <w:lang w:eastAsia="hu-HU"/>
        </w:rPr>
        <w:t>nem eredeti, hanem származékos. A központi</w:t>
      </w:r>
      <w:r>
        <w:rPr>
          <w:rFonts w:ascii="Times New Roman" w:hAnsi="Times New Roman"/>
          <w:sz w:val="24"/>
          <w:szCs w:val="24"/>
          <w:lang w:eastAsia="hu-HU"/>
        </w:rPr>
        <w:t xml:space="preserve"> politikában megadott mozgástér</w:t>
      </w:r>
      <w:r w:rsidR="00424D18" w:rsidRPr="00424D18">
        <w:rPr>
          <w:rFonts w:ascii="Times New Roman" w:hAnsi="Times New Roman"/>
          <w:sz w:val="24"/>
          <w:szCs w:val="24"/>
          <w:lang w:eastAsia="hu-HU"/>
        </w:rPr>
        <w:t xml:space="preserve"> </w:t>
      </w:r>
      <w:r>
        <w:rPr>
          <w:rFonts w:ascii="Times New Roman" w:hAnsi="Times New Roman"/>
          <w:sz w:val="24"/>
          <w:szCs w:val="24"/>
          <w:lang w:eastAsia="hu-HU"/>
        </w:rPr>
        <w:t>jelentős befolyással bír a</w:t>
      </w:r>
      <w:r w:rsidR="00424D18" w:rsidRPr="00424D18">
        <w:rPr>
          <w:rFonts w:ascii="Times New Roman" w:hAnsi="Times New Roman"/>
          <w:sz w:val="24"/>
          <w:szCs w:val="24"/>
          <w:lang w:eastAsia="hu-HU"/>
        </w:rPr>
        <w:t xml:space="preserve"> helyi igazgatás</w:t>
      </w:r>
      <w:r>
        <w:rPr>
          <w:rFonts w:ascii="Times New Roman" w:hAnsi="Times New Roman"/>
          <w:sz w:val="24"/>
          <w:szCs w:val="24"/>
          <w:lang w:eastAsia="hu-HU"/>
        </w:rPr>
        <w:t xml:space="preserve">ra, illetve meghatározza </w:t>
      </w:r>
      <w:r w:rsidR="00424D18" w:rsidRPr="00424D18">
        <w:rPr>
          <w:rFonts w:ascii="Times New Roman" w:hAnsi="Times New Roman"/>
          <w:sz w:val="24"/>
          <w:szCs w:val="24"/>
          <w:lang w:eastAsia="hu-HU"/>
        </w:rPr>
        <w:t xml:space="preserve">függőségét a központi költségvetéstől. A helyi adózásnak </w:t>
      </w:r>
      <w:r w:rsidR="00424D18">
        <w:rPr>
          <w:rFonts w:ascii="Times New Roman" w:hAnsi="Times New Roman"/>
          <w:sz w:val="24"/>
          <w:szCs w:val="24"/>
          <w:lang w:eastAsia="hu-HU"/>
        </w:rPr>
        <w:t xml:space="preserve">ugyanazon ismérvekkel kell rendelkezni, mint az államtól elvárt </w:t>
      </w:r>
      <w:r w:rsidR="00424D18" w:rsidRPr="00424D18">
        <w:rPr>
          <w:rFonts w:ascii="Times New Roman" w:hAnsi="Times New Roman"/>
          <w:sz w:val="24"/>
          <w:szCs w:val="24"/>
          <w:lang w:eastAsia="hu-HU"/>
        </w:rPr>
        <w:t xml:space="preserve">központi adóztatásnak. </w:t>
      </w:r>
      <w:r w:rsidR="00424D18">
        <w:rPr>
          <w:rFonts w:ascii="Times New Roman" w:hAnsi="Times New Roman"/>
          <w:sz w:val="24"/>
          <w:szCs w:val="24"/>
          <w:lang w:eastAsia="hu-HU"/>
        </w:rPr>
        <w:t xml:space="preserve">Ennél fogva a helyi adóktól elvárás, hogy </w:t>
      </w:r>
      <w:r w:rsidR="00424D18" w:rsidRPr="00424D18">
        <w:rPr>
          <w:rFonts w:ascii="Times New Roman" w:hAnsi="Times New Roman"/>
          <w:sz w:val="24"/>
          <w:szCs w:val="24"/>
          <w:lang w:eastAsia="hu-HU"/>
        </w:rPr>
        <w:t xml:space="preserve">az adóalanyiság feltételei az egyes adók tekintetében </w:t>
      </w:r>
      <w:r w:rsidR="00424D18">
        <w:rPr>
          <w:rFonts w:ascii="Times New Roman" w:hAnsi="Times New Roman"/>
          <w:sz w:val="24"/>
          <w:szCs w:val="24"/>
          <w:lang w:eastAsia="hu-HU"/>
        </w:rPr>
        <w:t>nyomon</w:t>
      </w:r>
      <w:r w:rsidR="00AE10F4">
        <w:rPr>
          <w:rFonts w:ascii="Times New Roman" w:hAnsi="Times New Roman"/>
          <w:sz w:val="24"/>
          <w:szCs w:val="24"/>
          <w:lang w:eastAsia="hu-HU"/>
        </w:rPr>
        <w:t xml:space="preserve"> </w:t>
      </w:r>
      <w:r w:rsidR="00424D18">
        <w:rPr>
          <w:rFonts w:ascii="Times New Roman" w:hAnsi="Times New Roman"/>
          <w:sz w:val="24"/>
          <w:szCs w:val="24"/>
          <w:lang w:eastAsia="hu-HU"/>
        </w:rPr>
        <w:t xml:space="preserve">követhetők legyenek, szabályozásuk könnyen értelmezhető és </w:t>
      </w:r>
      <w:r w:rsidR="00ED2051">
        <w:rPr>
          <w:rFonts w:ascii="Times New Roman" w:hAnsi="Times New Roman"/>
          <w:sz w:val="24"/>
          <w:szCs w:val="24"/>
          <w:lang w:eastAsia="hu-HU"/>
        </w:rPr>
        <w:t xml:space="preserve">az </w:t>
      </w:r>
      <w:r w:rsidR="00424D18">
        <w:rPr>
          <w:rFonts w:ascii="Times New Roman" w:hAnsi="Times New Roman"/>
          <w:sz w:val="24"/>
          <w:szCs w:val="24"/>
          <w:lang w:eastAsia="hu-HU"/>
        </w:rPr>
        <w:t>általánosság elvének megfeleljen</w:t>
      </w:r>
      <w:r w:rsidR="007D2473">
        <w:rPr>
          <w:rFonts w:ascii="Times New Roman" w:hAnsi="Times New Roman"/>
          <w:sz w:val="24"/>
          <w:szCs w:val="24"/>
          <w:lang w:eastAsia="hu-HU"/>
        </w:rPr>
        <w:t>ek</w:t>
      </w:r>
      <w:r w:rsidR="00424D18" w:rsidRPr="00424D18">
        <w:rPr>
          <w:rFonts w:ascii="Times New Roman" w:hAnsi="Times New Roman"/>
          <w:sz w:val="24"/>
          <w:szCs w:val="24"/>
          <w:lang w:eastAsia="hu-HU"/>
        </w:rPr>
        <w:t xml:space="preserve">. Az Önkormányzatnak, mikor rendeletét megalkotja a helyi adók bevezetéséről, módosításáról, megszűntetéséről, </w:t>
      </w:r>
      <w:r w:rsidR="007B2138">
        <w:rPr>
          <w:rFonts w:ascii="Times New Roman" w:hAnsi="Times New Roman"/>
          <w:sz w:val="24"/>
          <w:szCs w:val="24"/>
          <w:lang w:eastAsia="hu-HU"/>
        </w:rPr>
        <w:t xml:space="preserve">az adóztatás </w:t>
      </w:r>
      <w:r w:rsidR="00424D18" w:rsidRPr="00424D18">
        <w:rPr>
          <w:rFonts w:ascii="Times New Roman" w:hAnsi="Times New Roman"/>
          <w:sz w:val="24"/>
          <w:szCs w:val="24"/>
          <w:lang w:eastAsia="hu-HU"/>
        </w:rPr>
        <w:t>alapelve</w:t>
      </w:r>
      <w:r w:rsidR="007B2138">
        <w:rPr>
          <w:rFonts w:ascii="Times New Roman" w:hAnsi="Times New Roman"/>
          <w:sz w:val="24"/>
          <w:szCs w:val="24"/>
          <w:lang w:eastAsia="hu-HU"/>
        </w:rPr>
        <w:t>ivel</w:t>
      </w:r>
      <w:r w:rsidR="00424D18" w:rsidRPr="00424D18">
        <w:rPr>
          <w:rFonts w:ascii="Times New Roman" w:hAnsi="Times New Roman"/>
          <w:sz w:val="24"/>
          <w:szCs w:val="24"/>
          <w:lang w:eastAsia="hu-HU"/>
        </w:rPr>
        <w:t xml:space="preserve"> tisztában kell lennie, </w:t>
      </w:r>
      <w:r w:rsidR="007B2138">
        <w:rPr>
          <w:rFonts w:ascii="Times New Roman" w:hAnsi="Times New Roman"/>
          <w:sz w:val="24"/>
          <w:szCs w:val="24"/>
          <w:lang w:eastAsia="hu-HU"/>
        </w:rPr>
        <w:t>és</w:t>
      </w:r>
      <w:r w:rsidR="00331885">
        <w:rPr>
          <w:rFonts w:ascii="Times New Roman" w:hAnsi="Times New Roman"/>
          <w:sz w:val="24"/>
          <w:szCs w:val="24"/>
          <w:lang w:eastAsia="hu-HU"/>
        </w:rPr>
        <w:t xml:space="preserve"> ezen alapelvek</w:t>
      </w:r>
      <w:r w:rsidR="00424D18">
        <w:rPr>
          <w:rFonts w:ascii="Times New Roman" w:hAnsi="Times New Roman"/>
          <w:sz w:val="24"/>
          <w:szCs w:val="24"/>
          <w:lang w:eastAsia="hu-HU"/>
        </w:rPr>
        <w:t xml:space="preserve"> gyakorlása </w:t>
      </w:r>
      <w:r w:rsidR="00424D18" w:rsidRPr="00424D18">
        <w:rPr>
          <w:rFonts w:ascii="Times New Roman" w:hAnsi="Times New Roman"/>
          <w:sz w:val="24"/>
          <w:szCs w:val="24"/>
          <w:lang w:eastAsia="hu-HU"/>
        </w:rPr>
        <w:t>az adóztatás során</w:t>
      </w:r>
      <w:r w:rsidR="00424D18">
        <w:rPr>
          <w:rFonts w:ascii="Times New Roman" w:hAnsi="Times New Roman"/>
          <w:sz w:val="24"/>
          <w:szCs w:val="24"/>
          <w:lang w:eastAsia="hu-HU"/>
        </w:rPr>
        <w:t xml:space="preserve"> </w:t>
      </w:r>
      <w:r w:rsidR="00ED2051">
        <w:rPr>
          <w:rFonts w:ascii="Times New Roman" w:hAnsi="Times New Roman"/>
          <w:sz w:val="24"/>
          <w:szCs w:val="24"/>
          <w:lang w:eastAsia="hu-HU"/>
        </w:rPr>
        <w:t>kötelező érvénnyel bír</w:t>
      </w:r>
      <w:r w:rsidR="00424D18" w:rsidRPr="00424D18">
        <w:rPr>
          <w:rFonts w:ascii="Times New Roman" w:hAnsi="Times New Roman"/>
          <w:sz w:val="24"/>
          <w:szCs w:val="24"/>
          <w:lang w:eastAsia="hu-HU"/>
        </w:rPr>
        <w:t xml:space="preserve">. </w:t>
      </w:r>
      <w:r w:rsidR="007B2138">
        <w:rPr>
          <w:rFonts w:ascii="Times New Roman" w:hAnsi="Times New Roman"/>
          <w:sz w:val="24"/>
          <w:szCs w:val="24"/>
          <w:lang w:eastAsia="hu-HU"/>
        </w:rPr>
        <w:t xml:space="preserve">Ilyen alapelv </w:t>
      </w:r>
      <w:r w:rsidR="00424D18" w:rsidRPr="00424D18">
        <w:rPr>
          <w:rFonts w:ascii="Times New Roman" w:hAnsi="Times New Roman"/>
          <w:sz w:val="24"/>
          <w:szCs w:val="24"/>
          <w:lang w:eastAsia="hu-HU"/>
        </w:rPr>
        <w:t>az egyenlőség elve, mely az egyenlő feltételek szerinti adóztatást jelenti, vagyis az adóztatás során nem tehető különbség nemi, faji, állampolgársági, bőrszín, politikai vagy vallási vélemény alapján. Az arányosság elve kettős jelentésű: egyrészt a teljesítőképesség szerinti adóztatás követelményeit testesíti meg, másrészt a szabályozás során meg kell jelölni azt a gazdasági forrást, amihez igazodik az elvonás. A</w:t>
      </w:r>
      <w:r w:rsidR="007B2138">
        <w:rPr>
          <w:rFonts w:ascii="Times New Roman" w:hAnsi="Times New Roman"/>
          <w:sz w:val="24"/>
          <w:szCs w:val="24"/>
          <w:lang w:eastAsia="hu-HU"/>
        </w:rPr>
        <w:t>z</w:t>
      </w:r>
      <w:r w:rsidR="00424D18" w:rsidRPr="00424D18">
        <w:rPr>
          <w:rFonts w:ascii="Times New Roman" w:hAnsi="Times New Roman"/>
          <w:sz w:val="24"/>
          <w:szCs w:val="24"/>
          <w:lang w:eastAsia="hu-HU"/>
        </w:rPr>
        <w:t xml:space="preserve"> arányos közteherviselés elve alapján a befizetésre kötelezettek jövedelmi, személyi viszonyaira tekintettel kell lenni, ugyanakkor alapvető követelmény, hogy a lakosság minél szélesebb köre fizessen adót. A törvényesség a helyi adóztatás esetében különösen fontos, hiszen az Önkormányzat adóztatási önállósága kizárólag törvényi keretek között mozoghat, magában foglalva ezzel az alul</w:t>
      </w:r>
      <w:r w:rsidR="00887E09">
        <w:rPr>
          <w:rFonts w:ascii="Times New Roman" w:hAnsi="Times New Roman"/>
          <w:sz w:val="24"/>
          <w:szCs w:val="24"/>
          <w:lang w:eastAsia="hu-HU"/>
        </w:rPr>
        <w:t>-</w:t>
      </w:r>
      <w:r w:rsidR="00424D18" w:rsidRPr="00424D18">
        <w:rPr>
          <w:rFonts w:ascii="Times New Roman" w:hAnsi="Times New Roman"/>
          <w:sz w:val="24"/>
          <w:szCs w:val="24"/>
          <w:lang w:eastAsia="hu-HU"/>
        </w:rPr>
        <w:t xml:space="preserve"> és túladóztatás tilalmát. is. </w:t>
      </w:r>
      <w:r w:rsidR="00424D18" w:rsidRPr="00424D18">
        <w:rPr>
          <w:rFonts w:ascii="Times New Roman" w:hAnsi="Times New Roman"/>
          <w:sz w:val="24"/>
          <w:szCs w:val="24"/>
          <w:lang w:eastAsia="hu-HU"/>
        </w:rPr>
        <w:lastRenderedPageBreak/>
        <w:t>A magyar jogrendszer elvárja, hogy a helyi adópolitika kialakítása, a helyben alkalmazott adóztatási elvek verseny- és szektorsemlegesek legyenek, tiltja bármilyen érdekeltségi kör hátrányba</w:t>
      </w:r>
      <w:r w:rsidR="00AE10F4">
        <w:rPr>
          <w:rFonts w:ascii="Times New Roman" w:hAnsi="Times New Roman"/>
          <w:sz w:val="24"/>
          <w:szCs w:val="24"/>
          <w:lang w:eastAsia="hu-HU"/>
        </w:rPr>
        <w:t xml:space="preserve"> </w:t>
      </w:r>
      <w:proofErr w:type="gramStart"/>
      <w:r w:rsidR="00424D18" w:rsidRPr="00424D18">
        <w:rPr>
          <w:rFonts w:ascii="Times New Roman" w:hAnsi="Times New Roman"/>
          <w:sz w:val="24"/>
          <w:szCs w:val="24"/>
          <w:lang w:eastAsia="hu-HU"/>
        </w:rPr>
        <w:t>hozását</w:t>
      </w:r>
      <w:proofErr w:type="gramEnd"/>
      <w:r w:rsidR="00424D18" w:rsidRPr="00424D18">
        <w:rPr>
          <w:rFonts w:ascii="Times New Roman" w:hAnsi="Times New Roman"/>
          <w:sz w:val="24"/>
          <w:szCs w:val="24"/>
          <w:lang w:eastAsia="hu-HU"/>
        </w:rPr>
        <w:t xml:space="preserve"> illetve előtérbe helyezését. Az adóztatás egyik legfontosabb elve a méltányos helyi adórendszer kialakítását célozza meg, vagyis egyrészt az azonos adóerővel rendelkező személyek egyenlő összegű adó fizetésére kötelezettek, másrészt a nagyobb adóerővel rendelkező adóalanyok kötelesek nagyobb mértékben hozzájárulni a közterhekhez. </w:t>
      </w:r>
      <w:r w:rsidR="00331885">
        <w:rPr>
          <w:rFonts w:ascii="Times New Roman" w:hAnsi="Times New Roman"/>
          <w:sz w:val="24"/>
          <w:szCs w:val="24"/>
          <w:lang w:eastAsia="hu-HU"/>
        </w:rPr>
        <w:t>Az önkormányzat</w:t>
      </w:r>
      <w:r w:rsidRPr="006D5969">
        <w:rPr>
          <w:rFonts w:ascii="Times New Roman" w:hAnsi="Times New Roman"/>
          <w:sz w:val="24"/>
          <w:szCs w:val="24"/>
          <w:lang w:eastAsia="hu-HU"/>
        </w:rPr>
        <w:t xml:space="preserve"> gazdálkodása a helyi közfeladatok ellátásának pénzügyi megalapozása, az önkormányzati bevételek, valamint a kötelező és az önként vállalt közérdekű feladatokkal kapcsolatos kiadások összehangolása, az önkormányzati költségvetés egyensúlyban tartása mind egyaránt része az önkormányzat gazdaságpolitikájának. Az önkormányzati rendszer a demokratikus működés és az önkormányzati autonómián nyugszik. A helyi önkormányzat gazdálkodása akkor tekinthető kiegyensúlyozottnak, ha hosszabb időszak alatt is összhang van a bevételei és kiadásai között, nemcsak a tervezés, hanem a végrehajtás során</w:t>
      </w:r>
      <w:r w:rsidR="007D2473">
        <w:rPr>
          <w:rFonts w:ascii="Times New Roman" w:hAnsi="Times New Roman"/>
          <w:sz w:val="24"/>
          <w:szCs w:val="24"/>
          <w:lang w:eastAsia="hu-HU"/>
        </w:rPr>
        <w:t xml:space="preserve"> is</w:t>
      </w:r>
      <w:r w:rsidRPr="006D5969">
        <w:rPr>
          <w:rFonts w:ascii="Times New Roman" w:hAnsi="Times New Roman"/>
          <w:sz w:val="24"/>
          <w:szCs w:val="24"/>
          <w:lang w:eastAsia="hu-HU"/>
        </w:rPr>
        <w:t>.</w:t>
      </w:r>
    </w:p>
    <w:p w14:paraId="01C5E56D" w14:textId="77777777" w:rsidR="0090255D" w:rsidRDefault="0090255D" w:rsidP="00894C3B">
      <w:pPr>
        <w:ind w:firstLine="708"/>
        <w:jc w:val="both"/>
        <w:rPr>
          <w:rFonts w:ascii="Times New Roman" w:hAnsi="Times New Roman"/>
          <w:sz w:val="24"/>
          <w:szCs w:val="24"/>
          <w:lang w:eastAsia="hu-HU"/>
        </w:rPr>
      </w:pPr>
    </w:p>
    <w:p w14:paraId="1FFF37FA" w14:textId="3CADB7CF" w:rsidR="00736113" w:rsidRDefault="0090255D" w:rsidP="00894C3B">
      <w:pPr>
        <w:ind w:firstLine="708"/>
        <w:jc w:val="both"/>
        <w:rPr>
          <w:rFonts w:ascii="Times New Roman" w:hAnsi="Times New Roman"/>
          <w:sz w:val="24"/>
          <w:szCs w:val="24"/>
          <w:lang w:eastAsia="hu-HU"/>
        </w:rPr>
      </w:pPr>
      <w:r>
        <w:rPr>
          <w:rFonts w:ascii="Times New Roman" w:hAnsi="Times New Roman"/>
          <w:sz w:val="24"/>
          <w:szCs w:val="24"/>
          <w:lang w:eastAsia="hu-HU"/>
        </w:rPr>
        <w:t>Az alábbi</w:t>
      </w:r>
      <w:r w:rsidR="00736113">
        <w:rPr>
          <w:rFonts w:ascii="Times New Roman" w:hAnsi="Times New Roman"/>
          <w:sz w:val="24"/>
          <w:szCs w:val="24"/>
          <w:lang w:eastAsia="hu-HU"/>
        </w:rPr>
        <w:t xml:space="preserve"> </w:t>
      </w:r>
      <w:r>
        <w:rPr>
          <w:rFonts w:ascii="Times New Roman" w:hAnsi="Times New Roman"/>
          <w:sz w:val="24"/>
          <w:szCs w:val="24"/>
          <w:lang w:eastAsia="hu-HU"/>
        </w:rPr>
        <w:t>összefoglaló azt a célt szolgálja, hogy a</w:t>
      </w:r>
      <w:r w:rsidR="00736113">
        <w:rPr>
          <w:rFonts w:ascii="Times New Roman" w:hAnsi="Times New Roman"/>
          <w:sz w:val="24"/>
          <w:szCs w:val="24"/>
          <w:lang w:eastAsia="hu-HU"/>
        </w:rPr>
        <w:t xml:space="preserve"> Tiszt</w:t>
      </w:r>
      <w:r w:rsidR="00331885">
        <w:rPr>
          <w:rFonts w:ascii="Times New Roman" w:hAnsi="Times New Roman"/>
          <w:sz w:val="24"/>
          <w:szCs w:val="24"/>
          <w:lang w:eastAsia="hu-HU"/>
        </w:rPr>
        <w:t xml:space="preserve">elt Képviselő-testület </w:t>
      </w:r>
      <w:r>
        <w:rPr>
          <w:rFonts w:ascii="Times New Roman" w:hAnsi="Times New Roman"/>
          <w:sz w:val="24"/>
          <w:szCs w:val="24"/>
          <w:lang w:eastAsia="hu-HU"/>
        </w:rPr>
        <w:t>át</w:t>
      </w:r>
      <w:r w:rsidR="00736113">
        <w:rPr>
          <w:rFonts w:ascii="Times New Roman" w:hAnsi="Times New Roman"/>
          <w:sz w:val="24"/>
          <w:szCs w:val="24"/>
          <w:lang w:eastAsia="hu-HU"/>
        </w:rPr>
        <w:t>tekint</w:t>
      </w:r>
      <w:r>
        <w:rPr>
          <w:rFonts w:ascii="Times New Roman" w:hAnsi="Times New Roman"/>
          <w:sz w:val="24"/>
          <w:szCs w:val="24"/>
          <w:lang w:eastAsia="hu-HU"/>
        </w:rPr>
        <w:t>hes</w:t>
      </w:r>
      <w:r w:rsidR="00736113">
        <w:rPr>
          <w:rFonts w:ascii="Times New Roman" w:hAnsi="Times New Roman"/>
          <w:sz w:val="24"/>
          <w:szCs w:val="24"/>
          <w:lang w:eastAsia="hu-HU"/>
        </w:rPr>
        <w:t xml:space="preserve">se </w:t>
      </w:r>
      <w:r w:rsidR="004A4760">
        <w:rPr>
          <w:rFonts w:ascii="Times New Roman" w:hAnsi="Times New Roman"/>
          <w:sz w:val="24"/>
          <w:szCs w:val="24"/>
          <w:lang w:eastAsia="hu-HU"/>
        </w:rPr>
        <w:t xml:space="preserve">Nyúl község </w:t>
      </w:r>
      <w:r w:rsidR="00736113">
        <w:rPr>
          <w:rFonts w:ascii="Times New Roman" w:hAnsi="Times New Roman"/>
          <w:sz w:val="24"/>
          <w:szCs w:val="24"/>
          <w:lang w:eastAsia="hu-HU"/>
        </w:rPr>
        <w:t>helyi</w:t>
      </w:r>
      <w:r w:rsidR="006D5969">
        <w:rPr>
          <w:rFonts w:ascii="Times New Roman" w:hAnsi="Times New Roman"/>
          <w:sz w:val="24"/>
          <w:szCs w:val="24"/>
          <w:lang w:eastAsia="hu-HU"/>
        </w:rPr>
        <w:t xml:space="preserve"> adóbevételeinek alakulását 20</w:t>
      </w:r>
      <w:r w:rsidR="007D4103">
        <w:rPr>
          <w:rFonts w:ascii="Times New Roman" w:hAnsi="Times New Roman"/>
          <w:sz w:val="24"/>
          <w:szCs w:val="24"/>
          <w:lang w:eastAsia="hu-HU"/>
        </w:rPr>
        <w:t>20</w:t>
      </w:r>
      <w:r w:rsidR="006D5969">
        <w:rPr>
          <w:rFonts w:ascii="Times New Roman" w:hAnsi="Times New Roman"/>
          <w:sz w:val="24"/>
          <w:szCs w:val="24"/>
          <w:lang w:eastAsia="hu-HU"/>
        </w:rPr>
        <w:t>. év és 20</w:t>
      </w:r>
      <w:r w:rsidR="00A25296">
        <w:rPr>
          <w:rFonts w:ascii="Times New Roman" w:hAnsi="Times New Roman"/>
          <w:sz w:val="24"/>
          <w:szCs w:val="24"/>
          <w:lang w:eastAsia="hu-HU"/>
        </w:rPr>
        <w:t>2</w:t>
      </w:r>
      <w:r w:rsidR="007D4103">
        <w:rPr>
          <w:rFonts w:ascii="Times New Roman" w:hAnsi="Times New Roman"/>
          <w:sz w:val="24"/>
          <w:szCs w:val="24"/>
          <w:lang w:eastAsia="hu-HU"/>
        </w:rPr>
        <w:t>1</w:t>
      </w:r>
      <w:r w:rsidR="00736113">
        <w:rPr>
          <w:rFonts w:ascii="Times New Roman" w:hAnsi="Times New Roman"/>
          <w:sz w:val="24"/>
          <w:szCs w:val="24"/>
          <w:lang w:eastAsia="hu-HU"/>
        </w:rPr>
        <w:t xml:space="preserve">. I. félév vonatkozásában. A tájékoztató </w:t>
      </w:r>
      <w:r>
        <w:rPr>
          <w:rFonts w:ascii="Times New Roman" w:hAnsi="Times New Roman"/>
          <w:sz w:val="24"/>
          <w:szCs w:val="24"/>
          <w:lang w:eastAsia="hu-HU"/>
        </w:rPr>
        <w:t xml:space="preserve">tartalmazza </w:t>
      </w:r>
      <w:r w:rsidR="00736113">
        <w:rPr>
          <w:rFonts w:ascii="Times New Roman" w:hAnsi="Times New Roman"/>
          <w:sz w:val="24"/>
          <w:szCs w:val="24"/>
          <w:lang w:eastAsia="hu-HU"/>
        </w:rPr>
        <w:t xml:space="preserve">az előző </w:t>
      </w:r>
      <w:proofErr w:type="gramStart"/>
      <w:r w:rsidR="00736113">
        <w:rPr>
          <w:rFonts w:ascii="Times New Roman" w:hAnsi="Times New Roman"/>
          <w:sz w:val="24"/>
          <w:szCs w:val="24"/>
          <w:lang w:eastAsia="hu-HU"/>
        </w:rPr>
        <w:t>évi</w:t>
      </w:r>
      <w:proofErr w:type="gramEnd"/>
      <w:r w:rsidR="00736113">
        <w:rPr>
          <w:rFonts w:ascii="Times New Roman" w:hAnsi="Times New Roman"/>
          <w:sz w:val="24"/>
          <w:szCs w:val="24"/>
          <w:lang w:eastAsia="hu-HU"/>
        </w:rPr>
        <w:t xml:space="preserve"> illetve a folyó évi bevétel realizálásából eredő bevételek alakulás</w:t>
      </w:r>
      <w:r>
        <w:rPr>
          <w:rFonts w:ascii="Times New Roman" w:hAnsi="Times New Roman"/>
          <w:sz w:val="24"/>
          <w:szCs w:val="24"/>
          <w:lang w:eastAsia="hu-HU"/>
        </w:rPr>
        <w:t>át</w:t>
      </w:r>
      <w:r w:rsidR="00736113">
        <w:rPr>
          <w:rFonts w:ascii="Times New Roman" w:hAnsi="Times New Roman"/>
          <w:sz w:val="24"/>
          <w:szCs w:val="24"/>
          <w:lang w:eastAsia="hu-HU"/>
        </w:rPr>
        <w:t xml:space="preserve">, valamint </w:t>
      </w:r>
      <w:r w:rsidR="00B611BF">
        <w:rPr>
          <w:rFonts w:ascii="Times New Roman" w:hAnsi="Times New Roman"/>
          <w:sz w:val="24"/>
          <w:szCs w:val="24"/>
          <w:lang w:eastAsia="hu-HU"/>
        </w:rPr>
        <w:t xml:space="preserve">a </w:t>
      </w:r>
      <w:r>
        <w:rPr>
          <w:rFonts w:ascii="Times New Roman" w:hAnsi="Times New Roman"/>
          <w:sz w:val="24"/>
          <w:szCs w:val="24"/>
          <w:lang w:eastAsia="hu-HU"/>
        </w:rPr>
        <w:t>betekintést nyújt</w:t>
      </w:r>
      <w:r w:rsidR="00736113">
        <w:rPr>
          <w:rFonts w:ascii="Times New Roman" w:hAnsi="Times New Roman"/>
          <w:sz w:val="24"/>
          <w:szCs w:val="24"/>
          <w:lang w:eastAsia="hu-HU"/>
        </w:rPr>
        <w:t xml:space="preserve"> az adott években megvalósult adóhatósági </w:t>
      </w:r>
      <w:r>
        <w:rPr>
          <w:rFonts w:ascii="Times New Roman" w:hAnsi="Times New Roman"/>
          <w:sz w:val="24"/>
          <w:szCs w:val="24"/>
          <w:lang w:eastAsia="hu-HU"/>
        </w:rPr>
        <w:t>feladatellátásába</w:t>
      </w:r>
      <w:r w:rsidR="00B611BF">
        <w:rPr>
          <w:rFonts w:ascii="Times New Roman" w:hAnsi="Times New Roman"/>
          <w:sz w:val="24"/>
          <w:szCs w:val="24"/>
          <w:lang w:eastAsia="hu-HU"/>
        </w:rPr>
        <w:t xml:space="preserve"> is</w:t>
      </w:r>
      <w:r w:rsidR="00736113">
        <w:rPr>
          <w:rFonts w:ascii="Times New Roman" w:hAnsi="Times New Roman"/>
          <w:sz w:val="24"/>
          <w:szCs w:val="24"/>
          <w:lang w:eastAsia="hu-HU"/>
        </w:rPr>
        <w:t>.</w:t>
      </w:r>
      <w:r w:rsidR="00A25296">
        <w:rPr>
          <w:rFonts w:ascii="Times New Roman" w:hAnsi="Times New Roman"/>
          <w:sz w:val="24"/>
          <w:szCs w:val="24"/>
          <w:lang w:eastAsia="hu-HU"/>
        </w:rPr>
        <w:t xml:space="preserve"> </w:t>
      </w:r>
    </w:p>
    <w:p w14:paraId="6F715205" w14:textId="77777777" w:rsidR="004A4760" w:rsidRDefault="004A4760" w:rsidP="00894C3B">
      <w:pPr>
        <w:ind w:firstLine="708"/>
        <w:jc w:val="both"/>
        <w:rPr>
          <w:rFonts w:ascii="Times New Roman" w:hAnsi="Times New Roman"/>
          <w:sz w:val="24"/>
          <w:szCs w:val="24"/>
          <w:lang w:eastAsia="hu-HU"/>
        </w:rPr>
      </w:pPr>
    </w:p>
    <w:p w14:paraId="6E372064" w14:textId="364F8309" w:rsidR="00B919AD" w:rsidRDefault="004A4760" w:rsidP="00894C3B">
      <w:pPr>
        <w:ind w:firstLine="360"/>
        <w:jc w:val="both"/>
        <w:rPr>
          <w:rFonts w:ascii="Times New Roman" w:hAnsi="Times New Roman"/>
          <w:sz w:val="24"/>
          <w:szCs w:val="24"/>
          <w:lang w:eastAsia="hu-HU"/>
        </w:rPr>
      </w:pPr>
      <w:r>
        <w:rPr>
          <w:rFonts w:ascii="Times New Roman" w:hAnsi="Times New Roman"/>
          <w:sz w:val="24"/>
          <w:szCs w:val="24"/>
          <w:lang w:eastAsia="hu-HU"/>
        </w:rPr>
        <w:t xml:space="preserve">Nyúl község Önkormányzatának </w:t>
      </w:r>
      <w:r w:rsidR="00B919AD">
        <w:rPr>
          <w:rFonts w:ascii="Times New Roman" w:hAnsi="Times New Roman"/>
          <w:sz w:val="24"/>
          <w:szCs w:val="24"/>
          <w:lang w:eastAsia="hu-HU"/>
        </w:rPr>
        <w:t>Képviselő-testület</w:t>
      </w:r>
      <w:r>
        <w:rPr>
          <w:rFonts w:ascii="Times New Roman" w:hAnsi="Times New Roman"/>
          <w:sz w:val="24"/>
          <w:szCs w:val="24"/>
          <w:lang w:eastAsia="hu-HU"/>
        </w:rPr>
        <w:t>e</w:t>
      </w:r>
      <w:r w:rsidR="00B919AD">
        <w:rPr>
          <w:rFonts w:ascii="Times New Roman" w:hAnsi="Times New Roman"/>
          <w:sz w:val="24"/>
          <w:szCs w:val="24"/>
          <w:lang w:eastAsia="hu-HU"/>
        </w:rPr>
        <w:t xml:space="preserve"> - igazodva az </w:t>
      </w:r>
      <w:r w:rsidR="000F5A1F">
        <w:rPr>
          <w:rFonts w:ascii="Times New Roman" w:hAnsi="Times New Roman"/>
          <w:sz w:val="24"/>
          <w:szCs w:val="24"/>
          <w:lang w:eastAsia="hu-HU"/>
        </w:rPr>
        <w:t>A</w:t>
      </w:r>
      <w:r w:rsidR="00B919AD">
        <w:rPr>
          <w:rFonts w:ascii="Times New Roman" w:hAnsi="Times New Roman"/>
          <w:sz w:val="24"/>
          <w:szCs w:val="24"/>
          <w:lang w:eastAsia="hu-HU"/>
        </w:rPr>
        <w:t xml:space="preserve">laptörvény </w:t>
      </w:r>
      <w:proofErr w:type="gramStart"/>
      <w:r w:rsidR="00B919AD">
        <w:rPr>
          <w:rFonts w:ascii="Times New Roman" w:hAnsi="Times New Roman"/>
          <w:sz w:val="24"/>
          <w:szCs w:val="24"/>
          <w:lang w:eastAsia="hu-HU"/>
        </w:rPr>
        <w:t>rendelkezéseihez</w:t>
      </w:r>
      <w:proofErr w:type="gramEnd"/>
      <w:r w:rsidR="00B919AD">
        <w:rPr>
          <w:rFonts w:ascii="Times New Roman" w:hAnsi="Times New Roman"/>
          <w:sz w:val="24"/>
          <w:szCs w:val="24"/>
          <w:lang w:eastAsia="hu-HU"/>
        </w:rPr>
        <w:t xml:space="preserve"> illetve a fenti törvényi előírásokhoz –az alábbi adónemek tekintetében élt az adóztatás lehetőségével:</w:t>
      </w:r>
    </w:p>
    <w:p w14:paraId="53E29F87" w14:textId="77777777" w:rsidR="00736113" w:rsidRPr="000F5A1F" w:rsidRDefault="00B919AD" w:rsidP="00894C3B">
      <w:pPr>
        <w:numPr>
          <w:ilvl w:val="0"/>
          <w:numId w:val="23"/>
        </w:numPr>
        <w:jc w:val="both"/>
        <w:rPr>
          <w:rFonts w:ascii="Times New Roman" w:hAnsi="Times New Roman"/>
          <w:szCs w:val="24"/>
          <w:lang w:eastAsia="hu-HU"/>
        </w:rPr>
      </w:pPr>
      <w:r w:rsidRPr="000F5A1F">
        <w:rPr>
          <w:rFonts w:ascii="Times New Roman" w:hAnsi="Times New Roman"/>
          <w:szCs w:val="24"/>
          <w:lang w:eastAsia="hu-HU"/>
        </w:rPr>
        <w:t>építményadó</w:t>
      </w:r>
    </w:p>
    <w:p w14:paraId="380ED9FB" w14:textId="6060D3CB" w:rsidR="00B919AD" w:rsidRPr="000F5A1F" w:rsidRDefault="004A4760" w:rsidP="00894C3B">
      <w:pPr>
        <w:numPr>
          <w:ilvl w:val="0"/>
          <w:numId w:val="23"/>
        </w:numPr>
        <w:jc w:val="both"/>
        <w:rPr>
          <w:rFonts w:ascii="Times New Roman" w:hAnsi="Times New Roman"/>
          <w:szCs w:val="24"/>
          <w:lang w:eastAsia="hu-HU"/>
        </w:rPr>
      </w:pPr>
      <w:r>
        <w:rPr>
          <w:rFonts w:ascii="Times New Roman" w:hAnsi="Times New Roman"/>
          <w:szCs w:val="24"/>
          <w:lang w:eastAsia="hu-HU"/>
        </w:rPr>
        <w:t>kommunális adó</w:t>
      </w:r>
    </w:p>
    <w:p w14:paraId="2CCD4727" w14:textId="77777777" w:rsidR="00B919AD" w:rsidRPr="000F5A1F" w:rsidRDefault="00B919AD" w:rsidP="00894C3B">
      <w:pPr>
        <w:numPr>
          <w:ilvl w:val="0"/>
          <w:numId w:val="23"/>
        </w:numPr>
        <w:jc w:val="both"/>
        <w:rPr>
          <w:rFonts w:ascii="Times New Roman" w:hAnsi="Times New Roman"/>
          <w:szCs w:val="24"/>
          <w:lang w:eastAsia="hu-HU"/>
        </w:rPr>
      </w:pPr>
      <w:r w:rsidRPr="000F5A1F">
        <w:rPr>
          <w:rFonts w:ascii="Times New Roman" w:hAnsi="Times New Roman"/>
          <w:szCs w:val="24"/>
          <w:lang w:eastAsia="hu-HU"/>
        </w:rPr>
        <w:t>helyi iparűzési adó</w:t>
      </w:r>
    </w:p>
    <w:p w14:paraId="5A2F7C42" w14:textId="77777777" w:rsidR="00B919AD" w:rsidRPr="000F5A1F" w:rsidRDefault="00B919AD" w:rsidP="00894C3B">
      <w:pPr>
        <w:numPr>
          <w:ilvl w:val="0"/>
          <w:numId w:val="23"/>
        </w:numPr>
        <w:jc w:val="both"/>
        <w:rPr>
          <w:rFonts w:ascii="Times New Roman" w:hAnsi="Times New Roman"/>
          <w:szCs w:val="24"/>
          <w:lang w:eastAsia="hu-HU"/>
        </w:rPr>
      </w:pPr>
      <w:r w:rsidRPr="000F5A1F">
        <w:rPr>
          <w:rFonts w:ascii="Times New Roman" w:hAnsi="Times New Roman"/>
          <w:szCs w:val="24"/>
          <w:lang w:eastAsia="hu-HU"/>
        </w:rPr>
        <w:t>idegenforgalmi adó</w:t>
      </w:r>
    </w:p>
    <w:p w14:paraId="6ABEC8B0" w14:textId="2A1DB4DE" w:rsidR="00B919AD" w:rsidRDefault="00D66446" w:rsidP="00894C3B">
      <w:pPr>
        <w:ind w:firstLine="360"/>
        <w:jc w:val="both"/>
        <w:rPr>
          <w:rFonts w:ascii="Times New Roman" w:hAnsi="Times New Roman"/>
          <w:sz w:val="24"/>
          <w:szCs w:val="24"/>
          <w:lang w:eastAsia="hu-HU"/>
        </w:rPr>
      </w:pPr>
      <w:r>
        <w:rPr>
          <w:rFonts w:ascii="Times New Roman" w:hAnsi="Times New Roman"/>
          <w:sz w:val="24"/>
          <w:szCs w:val="24"/>
          <w:lang w:eastAsia="hu-HU"/>
        </w:rPr>
        <w:t xml:space="preserve">A központi rendelkezésnek megfelelően az </w:t>
      </w:r>
      <w:r w:rsidR="000F5A1F">
        <w:rPr>
          <w:rFonts w:ascii="Times New Roman" w:hAnsi="Times New Roman"/>
          <w:sz w:val="24"/>
          <w:szCs w:val="24"/>
          <w:lang w:eastAsia="hu-HU"/>
        </w:rPr>
        <w:t>ö</w:t>
      </w:r>
      <w:r>
        <w:rPr>
          <w:rFonts w:ascii="Times New Roman" w:hAnsi="Times New Roman"/>
          <w:sz w:val="24"/>
          <w:szCs w:val="24"/>
          <w:lang w:eastAsia="hu-HU"/>
        </w:rPr>
        <w:t xml:space="preserve">nkormányzati adóhatóság – a jegyző </w:t>
      </w:r>
      <w:r w:rsidR="00894C3B">
        <w:rPr>
          <w:rFonts w:ascii="Times New Roman" w:hAnsi="Times New Roman"/>
          <w:sz w:val="24"/>
          <w:szCs w:val="24"/>
          <w:lang w:eastAsia="hu-HU"/>
        </w:rPr>
        <w:t>hatáskörében</w:t>
      </w:r>
      <w:r>
        <w:rPr>
          <w:rFonts w:ascii="Times New Roman" w:hAnsi="Times New Roman"/>
          <w:sz w:val="24"/>
          <w:szCs w:val="24"/>
          <w:lang w:eastAsia="hu-HU"/>
        </w:rPr>
        <w:t xml:space="preserve"> – egyéb átengedett központilag meghatározott adók esetében is eljár, illetve beszedi azokat, melyek egy része vagy egésze növeli az Önkormányzat bevételeit. Ezek a központilag átengedett adók </w:t>
      </w:r>
      <w:r w:rsidR="004A4760">
        <w:rPr>
          <w:rFonts w:ascii="Times New Roman" w:hAnsi="Times New Roman"/>
          <w:sz w:val="24"/>
          <w:szCs w:val="24"/>
          <w:lang w:eastAsia="hu-HU"/>
        </w:rPr>
        <w:t>Nyúlon</w:t>
      </w:r>
      <w:r>
        <w:rPr>
          <w:rFonts w:ascii="Times New Roman" w:hAnsi="Times New Roman"/>
          <w:sz w:val="24"/>
          <w:szCs w:val="24"/>
          <w:lang w:eastAsia="hu-HU"/>
        </w:rPr>
        <w:t xml:space="preserve"> a következők:</w:t>
      </w:r>
    </w:p>
    <w:p w14:paraId="34260A8A" w14:textId="77777777" w:rsidR="00D66446" w:rsidRPr="000F5A1F" w:rsidRDefault="00D66446" w:rsidP="00894C3B">
      <w:pPr>
        <w:numPr>
          <w:ilvl w:val="0"/>
          <w:numId w:val="24"/>
        </w:numPr>
        <w:jc w:val="both"/>
        <w:rPr>
          <w:rFonts w:ascii="Times New Roman" w:hAnsi="Times New Roman"/>
          <w:szCs w:val="24"/>
          <w:lang w:eastAsia="hu-HU"/>
        </w:rPr>
      </w:pPr>
      <w:r w:rsidRPr="000F5A1F">
        <w:rPr>
          <w:rFonts w:ascii="Times New Roman" w:hAnsi="Times New Roman"/>
          <w:szCs w:val="24"/>
          <w:lang w:eastAsia="hu-HU"/>
        </w:rPr>
        <w:t>gépjárműadó</w:t>
      </w:r>
      <w:r w:rsidR="00467ECE" w:rsidRPr="000F5A1F">
        <w:rPr>
          <w:rFonts w:ascii="Times New Roman" w:hAnsi="Times New Roman"/>
          <w:szCs w:val="24"/>
          <w:lang w:eastAsia="hu-HU"/>
        </w:rPr>
        <w:t xml:space="preserve"> (2019.12.31-ig)</w:t>
      </w:r>
    </w:p>
    <w:p w14:paraId="326F1A9D" w14:textId="77777777" w:rsidR="00D66446" w:rsidRPr="000F5A1F" w:rsidRDefault="00D66446" w:rsidP="00894C3B">
      <w:pPr>
        <w:numPr>
          <w:ilvl w:val="0"/>
          <w:numId w:val="24"/>
        </w:numPr>
        <w:jc w:val="both"/>
        <w:rPr>
          <w:rFonts w:ascii="Times New Roman" w:hAnsi="Times New Roman"/>
          <w:szCs w:val="24"/>
          <w:lang w:eastAsia="hu-HU"/>
        </w:rPr>
      </w:pPr>
      <w:r w:rsidRPr="000F5A1F">
        <w:rPr>
          <w:rFonts w:ascii="Times New Roman" w:hAnsi="Times New Roman"/>
          <w:szCs w:val="24"/>
          <w:lang w:eastAsia="hu-HU"/>
        </w:rPr>
        <w:t>talajterhelési díj</w:t>
      </w:r>
    </w:p>
    <w:p w14:paraId="4B425BE5" w14:textId="165AD739" w:rsidR="00BB346E" w:rsidRDefault="004A4760" w:rsidP="004A4760">
      <w:pPr>
        <w:jc w:val="both"/>
        <w:rPr>
          <w:rFonts w:ascii="Times New Roman" w:hAnsi="Times New Roman"/>
          <w:sz w:val="24"/>
          <w:szCs w:val="24"/>
        </w:rPr>
      </w:pPr>
      <w:r>
        <w:rPr>
          <w:rFonts w:ascii="Times New Roman" w:hAnsi="Times New Roman"/>
          <w:sz w:val="24"/>
          <w:szCs w:val="24"/>
        </w:rPr>
        <w:t xml:space="preserve">Nyúl </w:t>
      </w:r>
      <w:r w:rsidR="00F55CE8">
        <w:rPr>
          <w:rFonts w:ascii="Times New Roman" w:hAnsi="Times New Roman"/>
          <w:sz w:val="24"/>
          <w:szCs w:val="24"/>
        </w:rPr>
        <w:t>Község helyi</w:t>
      </w:r>
      <w:r w:rsidR="00674102">
        <w:rPr>
          <w:rFonts w:ascii="Times New Roman" w:hAnsi="Times New Roman"/>
          <w:sz w:val="24"/>
          <w:szCs w:val="24"/>
        </w:rPr>
        <w:t xml:space="preserve"> adó </w:t>
      </w:r>
      <w:r w:rsidR="00674102" w:rsidRPr="00674102">
        <w:rPr>
          <w:rFonts w:ascii="Times New Roman" w:hAnsi="Times New Roman"/>
          <w:sz w:val="24"/>
          <w:szCs w:val="24"/>
        </w:rPr>
        <w:t>rendel</w:t>
      </w:r>
      <w:r w:rsidR="0020546C">
        <w:rPr>
          <w:rFonts w:ascii="Times New Roman" w:hAnsi="Times New Roman"/>
          <w:sz w:val="24"/>
          <w:szCs w:val="24"/>
        </w:rPr>
        <w:t>ete a lehető legnagyobb bevétel</w:t>
      </w:r>
      <w:r w:rsidR="00674102" w:rsidRPr="00674102">
        <w:rPr>
          <w:rFonts w:ascii="Times New Roman" w:hAnsi="Times New Roman"/>
          <w:sz w:val="24"/>
          <w:szCs w:val="24"/>
        </w:rPr>
        <w:t xml:space="preserve"> realizálásának</w:t>
      </w:r>
      <w:r w:rsidR="00674102">
        <w:rPr>
          <w:rFonts w:ascii="Times New Roman" w:hAnsi="Times New Roman"/>
          <w:sz w:val="24"/>
          <w:szCs w:val="24"/>
        </w:rPr>
        <w:t xml:space="preserve"> igénye mellett tekintettel van a helyi gazdasági szereplők</w:t>
      </w:r>
      <w:r w:rsidR="00674102" w:rsidRPr="00674102">
        <w:rPr>
          <w:rFonts w:ascii="Times New Roman" w:hAnsi="Times New Roman"/>
          <w:sz w:val="24"/>
          <w:szCs w:val="24"/>
        </w:rPr>
        <w:t xml:space="preserve"> teherviselő képességére, </w:t>
      </w:r>
      <w:r w:rsidR="00894C3B">
        <w:rPr>
          <w:rFonts w:ascii="Times New Roman" w:hAnsi="Times New Roman"/>
          <w:sz w:val="24"/>
          <w:szCs w:val="24"/>
        </w:rPr>
        <w:t xml:space="preserve">és </w:t>
      </w:r>
      <w:r w:rsidR="00F2122F">
        <w:rPr>
          <w:rFonts w:ascii="Times New Roman" w:hAnsi="Times New Roman"/>
          <w:sz w:val="24"/>
          <w:szCs w:val="24"/>
        </w:rPr>
        <w:t>igyekszik az igazságos adórendszerhez közelíteni.</w:t>
      </w:r>
    </w:p>
    <w:p w14:paraId="58B229FC" w14:textId="77777777" w:rsidR="008B3A73" w:rsidRPr="00674102" w:rsidRDefault="008B3A73" w:rsidP="004A4760">
      <w:pPr>
        <w:jc w:val="both"/>
        <w:rPr>
          <w:rFonts w:ascii="Times New Roman" w:hAnsi="Times New Roman"/>
          <w:sz w:val="24"/>
          <w:szCs w:val="24"/>
          <w:lang w:eastAsia="hu-HU"/>
        </w:rPr>
      </w:pPr>
    </w:p>
    <w:p w14:paraId="4BCC4B57" w14:textId="79BE976B" w:rsidR="00894C3B" w:rsidRPr="00F55CE8" w:rsidRDefault="008B3A73" w:rsidP="008B3A73">
      <w:pPr>
        <w:pStyle w:val="Cmsor2"/>
        <w:rPr>
          <w:color w:val="auto"/>
          <w:lang w:eastAsia="hu-HU"/>
        </w:rPr>
      </w:pPr>
      <w:r w:rsidRPr="00F55CE8">
        <w:rPr>
          <w:color w:val="auto"/>
          <w:lang w:eastAsia="hu-HU"/>
        </w:rPr>
        <w:t>A p</w:t>
      </w:r>
      <w:r w:rsidR="00FF43BD" w:rsidRPr="00F55CE8">
        <w:rPr>
          <w:color w:val="auto"/>
          <w:lang w:eastAsia="hu-HU"/>
        </w:rPr>
        <w:t xml:space="preserve">andémia </w:t>
      </w:r>
      <w:r w:rsidR="000F5A1F" w:rsidRPr="00F55CE8">
        <w:rPr>
          <w:color w:val="auto"/>
          <w:lang w:eastAsia="hu-HU"/>
        </w:rPr>
        <w:t xml:space="preserve">hatása </w:t>
      </w:r>
      <w:r w:rsidR="00FF43BD" w:rsidRPr="00F55CE8">
        <w:rPr>
          <w:color w:val="auto"/>
          <w:lang w:eastAsia="hu-HU"/>
        </w:rPr>
        <w:t>a helyi adóztatásban</w:t>
      </w:r>
    </w:p>
    <w:p w14:paraId="777318B3" w14:textId="77777777" w:rsidR="00FF43BD" w:rsidRDefault="00FF43BD" w:rsidP="00FF43BD">
      <w:pPr>
        <w:rPr>
          <w:lang w:eastAsia="hu-HU"/>
        </w:rPr>
      </w:pPr>
    </w:p>
    <w:p w14:paraId="158791E7" w14:textId="77777777" w:rsidR="00FF43BD" w:rsidRPr="00FF43BD" w:rsidRDefault="00FF43BD" w:rsidP="00FF43BD">
      <w:pPr>
        <w:ind w:firstLine="360"/>
        <w:jc w:val="both"/>
        <w:rPr>
          <w:rFonts w:ascii="Times New Roman" w:hAnsi="Times New Roman"/>
          <w:sz w:val="24"/>
          <w:szCs w:val="24"/>
          <w:lang w:eastAsia="hu-HU"/>
        </w:rPr>
      </w:pPr>
      <w:r w:rsidRPr="00FF43BD">
        <w:rPr>
          <w:rFonts w:ascii="Times New Roman" w:hAnsi="Times New Roman"/>
          <w:sz w:val="24"/>
          <w:szCs w:val="24"/>
          <w:lang w:eastAsia="hu-HU"/>
        </w:rPr>
        <w:t>A helyi adók egyik legfontosabb tulajdonsága, hogy a helyi adóból származó bevétel teljes egészében az azt megállapító önkormányzat saját bevételének számít, azt tőle elvonni nem lehet, és ez az elvonás tilalma törvényi ered</w:t>
      </w:r>
      <w:r w:rsidR="000F5A1F">
        <w:rPr>
          <w:rFonts w:ascii="Times New Roman" w:hAnsi="Times New Roman"/>
          <w:sz w:val="24"/>
          <w:szCs w:val="24"/>
          <w:lang w:eastAsia="hu-HU"/>
        </w:rPr>
        <w:t>etű</w:t>
      </w:r>
      <w:r>
        <w:rPr>
          <w:rFonts w:ascii="Times New Roman" w:hAnsi="Times New Roman"/>
          <w:sz w:val="24"/>
          <w:szCs w:val="24"/>
          <w:lang w:eastAsia="hu-HU"/>
        </w:rPr>
        <w:t xml:space="preserve">. Ugyanakkor a </w:t>
      </w:r>
      <w:r w:rsidRPr="00FF43BD">
        <w:rPr>
          <w:rFonts w:ascii="Times New Roman" w:hAnsi="Times New Roman"/>
          <w:sz w:val="24"/>
          <w:szCs w:val="24"/>
          <w:lang w:eastAsia="hu-HU"/>
        </w:rPr>
        <w:t>koronavírus járvány kapcsán hozott kormányzati intézkedések alapvetően m</w:t>
      </w:r>
      <w:r w:rsidR="0030386E">
        <w:rPr>
          <w:rFonts w:ascii="Times New Roman" w:hAnsi="Times New Roman"/>
          <w:sz w:val="24"/>
          <w:szCs w:val="24"/>
          <w:lang w:eastAsia="hu-HU"/>
        </w:rPr>
        <w:t>egváltoztatták az önkormányzat</w:t>
      </w:r>
      <w:r w:rsidRPr="00FF43BD">
        <w:rPr>
          <w:rFonts w:ascii="Times New Roman" w:hAnsi="Times New Roman"/>
          <w:sz w:val="24"/>
          <w:szCs w:val="24"/>
          <w:lang w:eastAsia="hu-HU"/>
        </w:rPr>
        <w:t xml:space="preserve"> költségvetési folyamatait is. A közös teherviselés elve szerint mindenkinek teherviselő képessége arányában kell kivennie részét a közkiadások finanszírozásából, illetve mindenkire akkora adóterhet kell hárítani, amekkora a többiekkel azonos hasznosságról való lemondást eredményez. </w:t>
      </w:r>
    </w:p>
    <w:p w14:paraId="0CF4FC99" w14:textId="77777777"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Az önkormányzati költségvetést</w:t>
      </w:r>
      <w:r w:rsidR="0030386E">
        <w:rPr>
          <w:rFonts w:ascii="Times New Roman" w:hAnsi="Times New Roman"/>
          <w:sz w:val="24"/>
          <w:szCs w:val="24"/>
          <w:lang w:eastAsia="hu-HU"/>
        </w:rPr>
        <w:t>, és ezen keresztül a helyi adóbevételeket</w:t>
      </w:r>
      <w:r w:rsidRPr="00FF43BD">
        <w:rPr>
          <w:rFonts w:ascii="Times New Roman" w:hAnsi="Times New Roman"/>
          <w:sz w:val="24"/>
          <w:szCs w:val="24"/>
          <w:lang w:eastAsia="hu-HU"/>
        </w:rPr>
        <w:t xml:space="preserve"> meglehetősen érzékenyen érintette, hogy a kormány a koronavírus járványra hivatkozva a veszélyhelyzetben elvonta a településektől</w:t>
      </w:r>
    </w:p>
    <w:p w14:paraId="51C1EDCC" w14:textId="56174959"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w:t>
      </w:r>
      <w:r w:rsidRPr="00FF43BD">
        <w:rPr>
          <w:rFonts w:ascii="Times New Roman" w:hAnsi="Times New Roman"/>
          <w:sz w:val="24"/>
          <w:szCs w:val="24"/>
          <w:lang w:eastAsia="hu-HU"/>
        </w:rPr>
        <w:tab/>
        <w:t>a gépjárműadót,</w:t>
      </w:r>
    </w:p>
    <w:p w14:paraId="17CC96B6" w14:textId="77777777"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lastRenderedPageBreak/>
        <w:t>•</w:t>
      </w:r>
      <w:r w:rsidRPr="00FF43BD">
        <w:rPr>
          <w:rFonts w:ascii="Times New Roman" w:hAnsi="Times New Roman"/>
          <w:sz w:val="24"/>
          <w:szCs w:val="24"/>
          <w:lang w:eastAsia="hu-HU"/>
        </w:rPr>
        <w:tab/>
        <w:t xml:space="preserve">az igenforgalmi adót, </w:t>
      </w:r>
    </w:p>
    <w:p w14:paraId="1EBE714D" w14:textId="73A77113"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w:t>
      </w:r>
      <w:r w:rsidRPr="00FF43BD">
        <w:rPr>
          <w:rFonts w:ascii="Times New Roman" w:hAnsi="Times New Roman"/>
          <w:sz w:val="24"/>
          <w:szCs w:val="24"/>
          <w:lang w:eastAsia="hu-HU"/>
        </w:rPr>
        <w:tab/>
        <w:t xml:space="preserve">adóemelési stopot vezetett be </w:t>
      </w:r>
    </w:p>
    <w:p w14:paraId="0B0D5EC2" w14:textId="72B5905B" w:rsidR="00FF43BD" w:rsidRDefault="00FF43BD" w:rsidP="00FF43BD">
      <w:pPr>
        <w:jc w:val="both"/>
        <w:rPr>
          <w:rFonts w:ascii="Times New Roman" w:hAnsi="Times New Roman"/>
          <w:sz w:val="24"/>
          <w:szCs w:val="24"/>
          <w:lang w:eastAsia="hu-HU"/>
        </w:rPr>
      </w:pPr>
      <w:r w:rsidRPr="00094B75">
        <w:rPr>
          <w:rFonts w:ascii="Times New Roman" w:hAnsi="Times New Roman"/>
          <w:sz w:val="24"/>
          <w:szCs w:val="24"/>
          <w:lang w:eastAsia="hu-HU"/>
        </w:rPr>
        <w:t>•</w:t>
      </w:r>
      <w:r w:rsidRPr="00094B75">
        <w:rPr>
          <w:rFonts w:ascii="Times New Roman" w:hAnsi="Times New Roman"/>
          <w:sz w:val="24"/>
          <w:szCs w:val="24"/>
          <w:lang w:eastAsia="hu-HU"/>
        </w:rPr>
        <w:tab/>
        <w:t xml:space="preserve">2021-től </w:t>
      </w:r>
      <w:r w:rsidR="000F5A1F" w:rsidRPr="00094B75">
        <w:rPr>
          <w:rFonts w:ascii="Times New Roman" w:hAnsi="Times New Roman"/>
          <w:sz w:val="24"/>
          <w:szCs w:val="24"/>
          <w:lang w:eastAsia="hu-HU"/>
        </w:rPr>
        <w:t>1%-</w:t>
      </w:r>
      <w:proofErr w:type="spellStart"/>
      <w:proofErr w:type="gramStart"/>
      <w:r w:rsidR="000F5A1F" w:rsidRPr="00094B75">
        <w:rPr>
          <w:rFonts w:ascii="Times New Roman" w:hAnsi="Times New Roman"/>
          <w:sz w:val="24"/>
          <w:szCs w:val="24"/>
          <w:lang w:eastAsia="hu-HU"/>
        </w:rPr>
        <w:t>ra</w:t>
      </w:r>
      <w:proofErr w:type="spellEnd"/>
      <w:r w:rsidR="000F5A1F" w:rsidRPr="00094B75">
        <w:rPr>
          <w:rFonts w:ascii="Times New Roman" w:hAnsi="Times New Roman"/>
          <w:sz w:val="24"/>
          <w:szCs w:val="24"/>
          <w:lang w:eastAsia="hu-HU"/>
        </w:rPr>
        <w:t xml:space="preserve"> </w:t>
      </w:r>
      <w:r w:rsidRPr="00094B75">
        <w:rPr>
          <w:rFonts w:ascii="Times New Roman" w:hAnsi="Times New Roman"/>
          <w:sz w:val="24"/>
          <w:szCs w:val="24"/>
          <w:lang w:eastAsia="hu-HU"/>
        </w:rPr>
        <w:t xml:space="preserve"> csökkentette</w:t>
      </w:r>
      <w:proofErr w:type="gramEnd"/>
      <w:r w:rsidRPr="00094B75">
        <w:rPr>
          <w:rFonts w:ascii="Times New Roman" w:hAnsi="Times New Roman"/>
          <w:sz w:val="24"/>
          <w:szCs w:val="24"/>
          <w:lang w:eastAsia="hu-HU"/>
        </w:rPr>
        <w:t xml:space="preserve"> a kis- és közepes vállalkozások </w:t>
      </w:r>
      <w:r w:rsidR="007D4103" w:rsidRPr="00094B75">
        <w:rPr>
          <w:rFonts w:ascii="Times New Roman" w:hAnsi="Times New Roman"/>
          <w:sz w:val="24"/>
          <w:szCs w:val="24"/>
          <w:lang w:eastAsia="hu-HU"/>
        </w:rPr>
        <w:t xml:space="preserve">helyi </w:t>
      </w:r>
      <w:r w:rsidRPr="00094B75">
        <w:rPr>
          <w:rFonts w:ascii="Times New Roman" w:hAnsi="Times New Roman"/>
          <w:sz w:val="24"/>
          <w:szCs w:val="24"/>
          <w:lang w:eastAsia="hu-HU"/>
        </w:rPr>
        <w:t>iparűzési adóját.</w:t>
      </w:r>
    </w:p>
    <w:p w14:paraId="3A6FE327" w14:textId="77777777" w:rsidR="005228BA" w:rsidRPr="00094B75" w:rsidRDefault="005228BA" w:rsidP="00FF43BD">
      <w:pPr>
        <w:jc w:val="both"/>
        <w:rPr>
          <w:rFonts w:ascii="Times New Roman" w:hAnsi="Times New Roman"/>
          <w:sz w:val="24"/>
          <w:szCs w:val="24"/>
          <w:lang w:eastAsia="hu-HU"/>
        </w:rPr>
      </w:pPr>
    </w:p>
    <w:p w14:paraId="1AF8EC68" w14:textId="19CC7BFC" w:rsid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A Kormány</w:t>
      </w:r>
      <w:r w:rsidR="00AA52C4">
        <w:rPr>
          <w:rFonts w:ascii="Times New Roman" w:hAnsi="Times New Roman"/>
          <w:sz w:val="24"/>
          <w:szCs w:val="24"/>
          <w:lang w:eastAsia="hu-HU"/>
        </w:rPr>
        <w:t xml:space="preserve"> az elvonások ellentételezésére, az ennek </w:t>
      </w:r>
      <w:r w:rsidRPr="00FF43BD">
        <w:rPr>
          <w:rFonts w:ascii="Times New Roman" w:hAnsi="Times New Roman"/>
          <w:sz w:val="24"/>
          <w:szCs w:val="24"/>
          <w:lang w:eastAsia="hu-HU"/>
        </w:rPr>
        <w:t>kö</w:t>
      </w:r>
      <w:r w:rsidR="00AA52C4">
        <w:rPr>
          <w:rFonts w:ascii="Times New Roman" w:hAnsi="Times New Roman"/>
          <w:sz w:val="24"/>
          <w:szCs w:val="24"/>
          <w:lang w:eastAsia="hu-HU"/>
        </w:rPr>
        <w:t>vetkeztében keletkező veszteség</w:t>
      </w:r>
      <w:r w:rsidRPr="00FF43BD">
        <w:rPr>
          <w:rFonts w:ascii="Times New Roman" w:hAnsi="Times New Roman"/>
          <w:sz w:val="24"/>
          <w:szCs w:val="24"/>
          <w:lang w:eastAsia="hu-HU"/>
        </w:rPr>
        <w:t xml:space="preserve"> kompenzál</w:t>
      </w:r>
      <w:r w:rsidR="00AA52C4">
        <w:rPr>
          <w:rFonts w:ascii="Times New Roman" w:hAnsi="Times New Roman"/>
          <w:sz w:val="24"/>
          <w:szCs w:val="24"/>
          <w:lang w:eastAsia="hu-HU"/>
        </w:rPr>
        <w:t>ása érdekében hozott döntéseket</w:t>
      </w:r>
      <w:r w:rsidRPr="00FF43BD">
        <w:rPr>
          <w:rFonts w:ascii="Times New Roman" w:hAnsi="Times New Roman"/>
          <w:sz w:val="24"/>
          <w:szCs w:val="24"/>
          <w:lang w:eastAsia="hu-HU"/>
        </w:rPr>
        <w:t>. 2021. január 14-én jelent meg a 4/2021. (I. 14.) Korm</w:t>
      </w:r>
      <w:r w:rsidR="007D4103">
        <w:rPr>
          <w:rFonts w:ascii="Times New Roman" w:hAnsi="Times New Roman"/>
          <w:sz w:val="24"/>
          <w:szCs w:val="24"/>
          <w:lang w:eastAsia="hu-HU"/>
        </w:rPr>
        <w:t>ányrendelet</w:t>
      </w:r>
      <w:r w:rsidRPr="00FF43BD">
        <w:rPr>
          <w:rFonts w:ascii="Times New Roman" w:hAnsi="Times New Roman"/>
          <w:sz w:val="24"/>
          <w:szCs w:val="24"/>
          <w:lang w:eastAsia="hu-HU"/>
        </w:rPr>
        <w:t xml:space="preserve"> a veszélyhelyzettel összefüggésben a huszonötezer főnél nem nagyobb lakosságszámú települési önkormányzatok támogatási programjáról, amely szerint a 25 ezernél kisebb lakosú települések automatikusan megkapják a teljes kieső összeget, és amelyre a kormány 50 milliárd forintot szán. </w:t>
      </w:r>
    </w:p>
    <w:p w14:paraId="5A920089" w14:textId="77777777" w:rsidR="0030386E" w:rsidRDefault="0030386E" w:rsidP="00FF43BD">
      <w:pPr>
        <w:jc w:val="both"/>
        <w:rPr>
          <w:rFonts w:ascii="Times New Roman" w:hAnsi="Times New Roman"/>
          <w:sz w:val="24"/>
          <w:szCs w:val="24"/>
          <w:lang w:eastAsia="hu-HU"/>
        </w:rPr>
      </w:pPr>
    </w:p>
    <w:p w14:paraId="2E2B6ECC" w14:textId="61F66B99" w:rsidR="00FF43BD" w:rsidRPr="00BB6FE9" w:rsidRDefault="00FF43BD" w:rsidP="00094B75">
      <w:pPr>
        <w:pStyle w:val="Cmsor3"/>
        <w:rPr>
          <w:color w:val="auto"/>
          <w:lang w:eastAsia="hu-HU"/>
        </w:rPr>
      </w:pPr>
      <w:r w:rsidRPr="00BB6FE9">
        <w:rPr>
          <w:color w:val="auto"/>
          <w:lang w:eastAsia="hu-HU"/>
        </w:rPr>
        <w:t xml:space="preserve">Helyi iparűzési adó </w:t>
      </w:r>
    </w:p>
    <w:p w14:paraId="458AB0FC" w14:textId="77777777" w:rsidR="003A58D3" w:rsidRPr="003A58D3" w:rsidRDefault="003A58D3" w:rsidP="003A58D3">
      <w:pPr>
        <w:rPr>
          <w:lang w:eastAsia="hu-HU"/>
        </w:rPr>
      </w:pPr>
    </w:p>
    <w:p w14:paraId="53465895" w14:textId="77777777"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 xml:space="preserve">A </w:t>
      </w:r>
      <w:r w:rsidR="00AA52C4">
        <w:rPr>
          <w:rFonts w:ascii="Times New Roman" w:hAnsi="Times New Roman"/>
          <w:sz w:val="24"/>
          <w:szCs w:val="24"/>
          <w:lang w:eastAsia="hu-HU"/>
        </w:rPr>
        <w:t>Gazdaságvédelmi Akcióterv keretében a koronavírus-járvány gazdasági hatásainak mérséklése érdekében szükséges adózási könnyítésekről szóló</w:t>
      </w:r>
      <w:r w:rsidR="00AA52C4" w:rsidRPr="00FF43BD">
        <w:rPr>
          <w:rFonts w:ascii="Times New Roman" w:hAnsi="Times New Roman"/>
          <w:sz w:val="24"/>
          <w:szCs w:val="24"/>
          <w:lang w:eastAsia="hu-HU"/>
        </w:rPr>
        <w:t xml:space="preserve"> </w:t>
      </w:r>
      <w:r w:rsidRPr="00FF43BD">
        <w:rPr>
          <w:rFonts w:ascii="Times New Roman" w:hAnsi="Times New Roman"/>
          <w:sz w:val="24"/>
          <w:szCs w:val="24"/>
          <w:lang w:eastAsia="hu-HU"/>
        </w:rPr>
        <w:t>140/2020. (VI.21.) Kormányrendelet</w:t>
      </w:r>
      <w:r w:rsidR="0030386E">
        <w:rPr>
          <w:rFonts w:ascii="Times New Roman" w:hAnsi="Times New Roman"/>
          <w:sz w:val="24"/>
          <w:szCs w:val="24"/>
          <w:lang w:eastAsia="hu-HU"/>
        </w:rPr>
        <w:t xml:space="preserve"> </w:t>
      </w:r>
      <w:r w:rsidRPr="00FF43BD">
        <w:rPr>
          <w:rFonts w:ascii="Times New Roman" w:hAnsi="Times New Roman"/>
          <w:sz w:val="24"/>
          <w:szCs w:val="24"/>
          <w:lang w:eastAsia="hu-HU"/>
        </w:rPr>
        <w:t>elrendelte a gazdasági társaságok részére, hogy a rendelet hatálybalépésének napja (2020. április 22.) és 2020. szeptember 30-a között esedékessé váló éves és soron kívüli helyi iparűzési adóbevallás-benyújtási kötelezettségüket és az ezzel egyidejűleg teljesítendő adófizetési kötelezettségüket, valamint a következő adóelőleg-fizetési időszakra szóló adóelőleg bevallás benyújtási kötelezettségüket 2020. május 31-e helyett 2020. s</w:t>
      </w:r>
      <w:r w:rsidR="00AA52C4">
        <w:rPr>
          <w:rFonts w:ascii="Times New Roman" w:hAnsi="Times New Roman"/>
          <w:sz w:val="24"/>
          <w:szCs w:val="24"/>
          <w:lang w:eastAsia="hu-HU"/>
        </w:rPr>
        <w:t xml:space="preserve">zeptember 30-ig teljesíthetik. </w:t>
      </w:r>
      <w:r w:rsidRPr="00FF43BD">
        <w:rPr>
          <w:rFonts w:ascii="Times New Roman" w:hAnsi="Times New Roman"/>
          <w:sz w:val="24"/>
          <w:szCs w:val="24"/>
          <w:lang w:eastAsia="hu-HU"/>
        </w:rPr>
        <w:t xml:space="preserve">A rendelet további kedvezményt tartalmazott arra vonatkozóan is, hogy amennyiben az adózó iparűzési adó bevallás-benyújtási, adóelőleg-bevallási kötelezettségét a 2020-ban kezdődő adóelőleg-fizetési időszak első előlegrészlete esedékessége napjáig nem teljesítette, akkor ezen előlegrészlet esedékességekor az előző – korábban bevallott – iparűzési adóelőlegrészlet összegét kell megfizetnie. Az adózó ezen adóelőleg-részlet mérséklését </w:t>
      </w:r>
      <w:r w:rsidR="007D4103">
        <w:rPr>
          <w:rFonts w:ascii="Times New Roman" w:hAnsi="Times New Roman"/>
          <w:sz w:val="24"/>
          <w:szCs w:val="24"/>
          <w:lang w:eastAsia="hu-HU"/>
        </w:rPr>
        <w:t>annak esedékessége előtt kérhette</w:t>
      </w:r>
      <w:r w:rsidRPr="00FF43BD">
        <w:rPr>
          <w:rFonts w:ascii="Times New Roman" w:hAnsi="Times New Roman"/>
          <w:sz w:val="24"/>
          <w:szCs w:val="24"/>
          <w:lang w:eastAsia="hu-HU"/>
        </w:rPr>
        <w:t xml:space="preserve">, ha számításai szerint a 2020-ban kezdődő </w:t>
      </w:r>
      <w:proofErr w:type="spellStart"/>
      <w:r w:rsidRPr="00FF43BD">
        <w:rPr>
          <w:rFonts w:ascii="Times New Roman" w:hAnsi="Times New Roman"/>
          <w:sz w:val="24"/>
          <w:szCs w:val="24"/>
          <w:lang w:eastAsia="hu-HU"/>
        </w:rPr>
        <w:t>adóév</w:t>
      </w:r>
      <w:proofErr w:type="spellEnd"/>
      <w:r w:rsidRPr="00FF43BD">
        <w:rPr>
          <w:rFonts w:ascii="Times New Roman" w:hAnsi="Times New Roman"/>
          <w:sz w:val="24"/>
          <w:szCs w:val="24"/>
          <w:lang w:eastAsia="hu-HU"/>
        </w:rPr>
        <w:t xml:space="preserve"> adója nem éri el az adóévi adóelőleg összegét. Az iparűzési adó befizetésének határidőben történő csúsztatása, valamint csökke</w:t>
      </w:r>
      <w:r w:rsidR="0030386E">
        <w:rPr>
          <w:rFonts w:ascii="Times New Roman" w:hAnsi="Times New Roman"/>
          <w:sz w:val="24"/>
          <w:szCs w:val="24"/>
          <w:lang w:eastAsia="hu-HU"/>
        </w:rPr>
        <w:t>ntése átszabta az önkormányzat</w:t>
      </w:r>
      <w:r w:rsidR="00AA52C4">
        <w:rPr>
          <w:rFonts w:ascii="Times New Roman" w:hAnsi="Times New Roman"/>
          <w:sz w:val="24"/>
          <w:szCs w:val="24"/>
          <w:lang w:eastAsia="hu-HU"/>
        </w:rPr>
        <w:t xml:space="preserve"> 2020. és 2021. </w:t>
      </w:r>
      <w:r w:rsidRPr="00FF43BD">
        <w:rPr>
          <w:rFonts w:ascii="Times New Roman" w:hAnsi="Times New Roman"/>
          <w:sz w:val="24"/>
          <w:szCs w:val="24"/>
          <w:lang w:eastAsia="hu-HU"/>
        </w:rPr>
        <w:t>évi költségvetését is. Az év második felében hirdették ki az egyes adótörvények változásáról szóló 2020. évi CXVIII. törvény</w:t>
      </w:r>
      <w:r w:rsidR="00AA52C4">
        <w:rPr>
          <w:rFonts w:ascii="Times New Roman" w:hAnsi="Times New Roman"/>
          <w:sz w:val="24"/>
          <w:szCs w:val="24"/>
          <w:lang w:eastAsia="hu-HU"/>
        </w:rPr>
        <w:t>t</w:t>
      </w:r>
      <w:r w:rsidRPr="00FF43BD">
        <w:rPr>
          <w:rFonts w:ascii="Times New Roman" w:hAnsi="Times New Roman"/>
          <w:sz w:val="24"/>
          <w:szCs w:val="24"/>
          <w:lang w:eastAsia="hu-HU"/>
        </w:rPr>
        <w:t>, mely a helyi iparűzési adó vonatkozásában</w:t>
      </w:r>
      <w:r w:rsidR="00AA52C4">
        <w:rPr>
          <w:rFonts w:ascii="Times New Roman" w:hAnsi="Times New Roman"/>
          <w:sz w:val="24"/>
          <w:szCs w:val="24"/>
          <w:lang w:eastAsia="hu-HU"/>
        </w:rPr>
        <w:t xml:space="preserve"> további szabályokat állapított meg</w:t>
      </w:r>
      <w:r w:rsidRPr="00FF43BD">
        <w:rPr>
          <w:rFonts w:ascii="Times New Roman" w:hAnsi="Times New Roman"/>
          <w:sz w:val="24"/>
          <w:szCs w:val="24"/>
          <w:lang w:eastAsia="hu-HU"/>
        </w:rPr>
        <w:t xml:space="preserve">. A törvény tartalmazza a 2021. adóévre az ideiglenes iparűzési adókötelezettség megszüntetését a 30 napon túli 180 napon belüli építőipari tevékenységre vonatkozóan, mely adónem az állandó jellegű iparűzési tevékenység után fizetendő adóba került „betudásra”. A javaslat </w:t>
      </w:r>
      <w:r w:rsidR="00AA52C4">
        <w:rPr>
          <w:rFonts w:ascii="Times New Roman" w:hAnsi="Times New Roman"/>
          <w:sz w:val="24"/>
          <w:szCs w:val="24"/>
          <w:lang w:eastAsia="hu-HU"/>
        </w:rPr>
        <w:t xml:space="preserve">az adminisztráció </w:t>
      </w:r>
      <w:r w:rsidRPr="00FF43BD">
        <w:rPr>
          <w:rFonts w:ascii="Times New Roman" w:hAnsi="Times New Roman"/>
          <w:sz w:val="24"/>
          <w:szCs w:val="24"/>
          <w:lang w:eastAsia="hu-HU"/>
        </w:rPr>
        <w:t>csökkentés</w:t>
      </w:r>
      <w:r w:rsidR="00AA52C4">
        <w:rPr>
          <w:rFonts w:ascii="Times New Roman" w:hAnsi="Times New Roman"/>
          <w:sz w:val="24"/>
          <w:szCs w:val="24"/>
          <w:lang w:eastAsia="hu-HU"/>
        </w:rPr>
        <w:t>e</w:t>
      </w:r>
      <w:r w:rsidRPr="00FF43BD">
        <w:rPr>
          <w:rFonts w:ascii="Times New Roman" w:hAnsi="Times New Roman"/>
          <w:sz w:val="24"/>
          <w:szCs w:val="24"/>
          <w:lang w:eastAsia="hu-HU"/>
        </w:rPr>
        <w:t xml:space="preserve"> érdekében, illetve az adórendszer átláthatóság érdekében került be a törvénybe. Továbbá módosításra került a helyi iparűzési adó bevallási rendje, mivel </w:t>
      </w:r>
      <w:r w:rsidR="00AA52C4">
        <w:rPr>
          <w:rFonts w:ascii="Times New Roman" w:hAnsi="Times New Roman"/>
          <w:sz w:val="24"/>
          <w:szCs w:val="24"/>
          <w:lang w:eastAsia="hu-HU"/>
        </w:rPr>
        <w:t xml:space="preserve">a </w:t>
      </w:r>
      <w:r w:rsidRPr="00FF43BD">
        <w:rPr>
          <w:rFonts w:ascii="Times New Roman" w:hAnsi="Times New Roman"/>
          <w:sz w:val="24"/>
          <w:szCs w:val="24"/>
          <w:lang w:eastAsia="hu-HU"/>
        </w:rPr>
        <w:t>jövőben az adóalanyok nem az önkormányzati, hanem kizárólag az állami adóhatósághoz kötelesek benyújtani helyi iparűzési bevallásukat. A bevallás-benyújtás/fogadás központosítása nem érinti a helyi iparűzési adóból származó bevétel sorsát, az továbbra is a he</w:t>
      </w:r>
      <w:r w:rsidR="0030386E">
        <w:rPr>
          <w:rFonts w:ascii="Times New Roman" w:hAnsi="Times New Roman"/>
          <w:sz w:val="24"/>
          <w:szCs w:val="24"/>
          <w:lang w:eastAsia="hu-HU"/>
        </w:rPr>
        <w:t>lyi önkormányzat bevétele marad</w:t>
      </w:r>
      <w:r w:rsidR="00AA52C4">
        <w:rPr>
          <w:rFonts w:ascii="Times New Roman" w:hAnsi="Times New Roman"/>
          <w:sz w:val="24"/>
          <w:szCs w:val="24"/>
          <w:lang w:eastAsia="hu-HU"/>
        </w:rPr>
        <w:t>. U</w:t>
      </w:r>
      <w:r w:rsidR="0030386E">
        <w:rPr>
          <w:rFonts w:ascii="Times New Roman" w:hAnsi="Times New Roman"/>
          <w:sz w:val="24"/>
          <w:szCs w:val="24"/>
          <w:lang w:eastAsia="hu-HU"/>
        </w:rPr>
        <w:t xml:space="preserve">gyanakkor az </w:t>
      </w:r>
      <w:r w:rsidRPr="00FF43BD">
        <w:rPr>
          <w:rFonts w:ascii="Times New Roman" w:hAnsi="Times New Roman"/>
          <w:sz w:val="24"/>
          <w:szCs w:val="24"/>
          <w:lang w:eastAsia="hu-HU"/>
        </w:rPr>
        <w:t xml:space="preserve">Önkormányzat gazdálkodására vonatkozóan további központi intézkedés került kihirdetésre: a koronavírus-világjárvány nemzetgazdaságot érintő hatásának enyhítése érdekében szükséges egyes intézkedésekről szóló 639/2020. (XII. 22.) Kormányrendelet a helyi iparűzési adó mértékének 1%-ban való maximalizálásáról döntött az egyéni-, </w:t>
      </w:r>
      <w:proofErr w:type="spellStart"/>
      <w:r w:rsidRPr="00FF43BD">
        <w:rPr>
          <w:rFonts w:ascii="Times New Roman" w:hAnsi="Times New Roman"/>
          <w:sz w:val="24"/>
          <w:szCs w:val="24"/>
          <w:lang w:eastAsia="hu-HU"/>
        </w:rPr>
        <w:t>mikro</w:t>
      </w:r>
      <w:proofErr w:type="spellEnd"/>
      <w:r w:rsidRPr="00FF43BD">
        <w:rPr>
          <w:rFonts w:ascii="Times New Roman" w:hAnsi="Times New Roman"/>
          <w:sz w:val="24"/>
          <w:szCs w:val="24"/>
          <w:lang w:eastAsia="hu-HU"/>
        </w:rPr>
        <w:t>-, kis- és közép vállalkozások esetén, mely intézkedés 2021. február 25-ig a NAV felé megtett nyilatkozat alapján 2021. évben végződő adóévben alkalmazandó</w:t>
      </w:r>
      <w:r w:rsidR="007D4103">
        <w:rPr>
          <w:rFonts w:ascii="Times New Roman" w:hAnsi="Times New Roman"/>
          <w:sz w:val="24"/>
          <w:szCs w:val="24"/>
          <w:lang w:eastAsia="hu-HU"/>
        </w:rPr>
        <w:t>ak</w:t>
      </w:r>
      <w:r w:rsidRPr="00FF43BD">
        <w:rPr>
          <w:rFonts w:ascii="Times New Roman" w:hAnsi="Times New Roman"/>
          <w:sz w:val="24"/>
          <w:szCs w:val="24"/>
          <w:lang w:eastAsia="hu-HU"/>
        </w:rPr>
        <w:t xml:space="preserve">. </w:t>
      </w:r>
    </w:p>
    <w:p w14:paraId="4CC1291D" w14:textId="77777777" w:rsidR="0030386E" w:rsidRDefault="0030386E" w:rsidP="0030386E">
      <w:pPr>
        <w:pStyle w:val="Cmsor4"/>
        <w:rPr>
          <w:lang w:eastAsia="hu-HU"/>
        </w:rPr>
      </w:pPr>
    </w:p>
    <w:p w14:paraId="29532756" w14:textId="57370494" w:rsidR="00FF43BD" w:rsidRPr="00BB6FE9" w:rsidRDefault="00FF43BD" w:rsidP="00094B75">
      <w:pPr>
        <w:pStyle w:val="Cmsor3"/>
        <w:rPr>
          <w:color w:val="auto"/>
          <w:lang w:eastAsia="hu-HU"/>
        </w:rPr>
      </w:pPr>
      <w:r w:rsidRPr="00BB6FE9">
        <w:rPr>
          <w:color w:val="auto"/>
          <w:lang w:eastAsia="hu-HU"/>
        </w:rPr>
        <w:t>Idegenforgalmi adó</w:t>
      </w:r>
    </w:p>
    <w:p w14:paraId="74B77F0C" w14:textId="77777777" w:rsidR="003A58D3" w:rsidRPr="003A58D3" w:rsidRDefault="003A58D3" w:rsidP="003A58D3">
      <w:pPr>
        <w:rPr>
          <w:lang w:eastAsia="hu-HU"/>
        </w:rPr>
      </w:pPr>
    </w:p>
    <w:p w14:paraId="7618D3FF" w14:textId="77777777"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A 140/2020. (VI.21.) Kormányrendelet – 2020. április 26-</w:t>
      </w:r>
      <w:r w:rsidR="004559A6">
        <w:rPr>
          <w:rFonts w:ascii="Times New Roman" w:hAnsi="Times New Roman"/>
          <w:sz w:val="24"/>
          <w:szCs w:val="24"/>
          <w:lang w:eastAsia="hu-HU"/>
        </w:rPr>
        <w:t>i hatálybelépéssel – meghatározt</w:t>
      </w:r>
      <w:r w:rsidRPr="00FF43BD">
        <w:rPr>
          <w:rFonts w:ascii="Times New Roman" w:hAnsi="Times New Roman"/>
          <w:sz w:val="24"/>
          <w:szCs w:val="24"/>
          <w:lang w:eastAsia="hu-HU"/>
        </w:rPr>
        <w:t xml:space="preserve">a, hogy a hatálybelépés napjától 2020. december 31-ig terjedő időszakban eltöltött vendégéjszaka utáni idegenforgalmi adót az adó alanyának nem kell megfizetnie, az adó beszedésére </w:t>
      </w:r>
      <w:r w:rsidRPr="00FF43BD">
        <w:rPr>
          <w:rFonts w:ascii="Times New Roman" w:hAnsi="Times New Roman"/>
          <w:sz w:val="24"/>
          <w:szCs w:val="24"/>
          <w:lang w:eastAsia="hu-HU"/>
        </w:rPr>
        <w:lastRenderedPageBreak/>
        <w:t>kötelezettnek nem kell beszednie, befizetne, a megállapított, de be nem szedett adót azonban be kell vallania az adóhatósághoz. A szállodák és fizetővendéglátó szolgáltatók központi intézkedésen keresztüli támogatásával az idegenforgalmi adóban is jelentős kiesést tapasztalnak az önkormányzatok, tekintve, hogy a központi szabályozás szerint a veszélyhelyzet fennállása alatt a szolgáltatóknak nem kellett az idegenforgalmi adót beszedniük és az önkormányzati adóhatóság felé befizetniük. A 696/2020. (XII. 29.) Kormányrendelet értelmében az egyes, a veszélyhelyzet ideje alatt alkalmazandó gazdasági szabályokról szóló 498/2020. (XI. 13.) Kormányrendelet módosítása alapján 2021. január 1. napjától továbbra is fennmarad, hogy a veszélyhelyzet kihirdetéséről szóló 478/2020. (XI. 3.) Kormányrendelet szerinti veszélyhelyzet megszűnéséig a szálláshely szolgáltatónak a vendégéjszakák után az adót nem kell beszednie és az önkormányzati adóhatóság felé befizetnie.</w:t>
      </w:r>
      <w:r w:rsidR="004559A6">
        <w:rPr>
          <w:rFonts w:ascii="Times New Roman" w:hAnsi="Times New Roman"/>
          <w:sz w:val="24"/>
          <w:szCs w:val="24"/>
          <w:lang w:eastAsia="hu-HU"/>
        </w:rPr>
        <w:t xml:space="preserve"> Az idegenforgalmi adóra vonatkozó ezen kedvezmény 2021. június 30-ával szűnt meg, így 2021. július 1-jétől már köteles a szállásadó az idegenforgalmi adót a vendégtől beszedni, és azt az önkormányzati adóhatóság felé megfizetni.</w:t>
      </w:r>
    </w:p>
    <w:p w14:paraId="3189E1F6" w14:textId="77777777" w:rsidR="0030386E" w:rsidRDefault="0030386E" w:rsidP="00FF43BD">
      <w:pPr>
        <w:jc w:val="both"/>
        <w:rPr>
          <w:rFonts w:ascii="Times New Roman" w:hAnsi="Times New Roman"/>
          <w:sz w:val="24"/>
          <w:szCs w:val="24"/>
          <w:lang w:eastAsia="hu-HU"/>
        </w:rPr>
      </w:pPr>
    </w:p>
    <w:p w14:paraId="11AE6BD1" w14:textId="0FF30874" w:rsidR="00FF43BD" w:rsidRPr="00BB6FE9" w:rsidRDefault="00FF43BD" w:rsidP="00094B75">
      <w:pPr>
        <w:pStyle w:val="Cmsor3"/>
        <w:rPr>
          <w:color w:val="auto"/>
          <w:lang w:eastAsia="hu-HU"/>
        </w:rPr>
      </w:pPr>
      <w:r w:rsidRPr="00BB6FE9">
        <w:rPr>
          <w:color w:val="auto"/>
          <w:lang w:eastAsia="hu-HU"/>
        </w:rPr>
        <w:t>Gépjárműadó</w:t>
      </w:r>
    </w:p>
    <w:p w14:paraId="7997FFA3" w14:textId="77777777" w:rsidR="003A58D3" w:rsidRPr="003A58D3" w:rsidRDefault="003A58D3" w:rsidP="003A58D3">
      <w:pPr>
        <w:rPr>
          <w:lang w:eastAsia="hu-HU"/>
        </w:rPr>
      </w:pPr>
    </w:p>
    <w:p w14:paraId="6B6AF568" w14:textId="77777777" w:rsidR="00FF43BD" w:rsidRPr="00FF43BD"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A veszélyhelyzet kihirdetését követően, már szinte az első gazdaságvédelmi intézkedés részeként a gépjárműadó elvonás</w:t>
      </w:r>
      <w:r w:rsidR="00B101D4">
        <w:rPr>
          <w:rFonts w:ascii="Times New Roman" w:hAnsi="Times New Roman"/>
          <w:sz w:val="24"/>
          <w:szCs w:val="24"/>
          <w:lang w:eastAsia="hu-HU"/>
        </w:rPr>
        <w:t>a valósult meg az önkormányzat</w:t>
      </w:r>
      <w:r w:rsidRPr="00FF43BD">
        <w:rPr>
          <w:rFonts w:ascii="Times New Roman" w:hAnsi="Times New Roman"/>
          <w:sz w:val="24"/>
          <w:szCs w:val="24"/>
          <w:lang w:eastAsia="hu-HU"/>
        </w:rPr>
        <w:t>tól, melynek összegét innentől a</w:t>
      </w:r>
      <w:r w:rsidR="004559A6">
        <w:rPr>
          <w:rFonts w:ascii="Times New Roman" w:hAnsi="Times New Roman"/>
          <w:sz w:val="24"/>
          <w:szCs w:val="24"/>
          <w:lang w:eastAsia="hu-HU"/>
        </w:rPr>
        <w:t xml:space="preserve"> </w:t>
      </w:r>
      <w:r w:rsidRPr="00FF43BD">
        <w:rPr>
          <w:rFonts w:ascii="Times New Roman" w:hAnsi="Times New Roman"/>
          <w:sz w:val="24"/>
          <w:szCs w:val="24"/>
          <w:lang w:eastAsia="hu-HU"/>
        </w:rPr>
        <w:t>XLVI. Járvány Elleni Védekezés</w:t>
      </w:r>
      <w:r w:rsidR="00B101D4">
        <w:rPr>
          <w:rFonts w:ascii="Times New Roman" w:hAnsi="Times New Roman"/>
          <w:sz w:val="24"/>
          <w:szCs w:val="24"/>
          <w:lang w:eastAsia="hu-HU"/>
        </w:rPr>
        <w:t>i Alap javára kell teljesíteni</w:t>
      </w:r>
      <w:r w:rsidRPr="00FF43BD">
        <w:rPr>
          <w:rFonts w:ascii="Times New Roman" w:hAnsi="Times New Roman"/>
          <w:sz w:val="24"/>
          <w:szCs w:val="24"/>
          <w:lang w:eastAsia="hu-HU"/>
        </w:rPr>
        <w:t>.  Az erre vonatkozó szabályok a Magyarország 2020. évi központi költségvetésének a veszélyhelyzettel összefüggő eltérő szabályairól szóló 92/2020. (IV. 6.) Kormányrendeletben jelentek meg. A 2</w:t>
      </w:r>
      <w:r w:rsidR="00E353EF">
        <w:rPr>
          <w:rFonts w:ascii="Times New Roman" w:hAnsi="Times New Roman"/>
          <w:sz w:val="24"/>
          <w:szCs w:val="24"/>
          <w:lang w:eastAsia="hu-HU"/>
        </w:rPr>
        <w:t xml:space="preserve">020. évi központi </w:t>
      </w:r>
      <w:r w:rsidR="00E353EF" w:rsidRPr="00094B75">
        <w:rPr>
          <w:rFonts w:ascii="Times New Roman" w:hAnsi="Times New Roman"/>
          <w:sz w:val="24"/>
          <w:szCs w:val="24"/>
          <w:lang w:eastAsia="hu-HU"/>
        </w:rPr>
        <w:t>költségvetésről szóló 2019. évi LXX</w:t>
      </w:r>
      <w:r w:rsidRPr="00094B75">
        <w:rPr>
          <w:rFonts w:ascii="Times New Roman" w:hAnsi="Times New Roman"/>
          <w:sz w:val="24"/>
          <w:szCs w:val="24"/>
          <w:lang w:eastAsia="hu-HU"/>
        </w:rPr>
        <w:t xml:space="preserve">I. törvény alapján a központi költségvetést illeti a belföldi </w:t>
      </w:r>
      <w:r w:rsidRPr="00FF43BD">
        <w:rPr>
          <w:rFonts w:ascii="Times New Roman" w:hAnsi="Times New Roman"/>
          <w:sz w:val="24"/>
          <w:szCs w:val="24"/>
          <w:lang w:eastAsia="hu-HU"/>
        </w:rPr>
        <w:t xml:space="preserve">gépjárműadó 60%-a, </w:t>
      </w:r>
      <w:r w:rsidR="004559A6">
        <w:rPr>
          <w:rFonts w:ascii="Times New Roman" w:hAnsi="Times New Roman"/>
          <w:sz w:val="24"/>
          <w:szCs w:val="24"/>
          <w:lang w:eastAsia="hu-HU"/>
        </w:rPr>
        <w:t xml:space="preserve">valamint </w:t>
      </w:r>
      <w:r w:rsidRPr="00FF43BD">
        <w:rPr>
          <w:rFonts w:ascii="Times New Roman" w:hAnsi="Times New Roman"/>
          <w:sz w:val="24"/>
          <w:szCs w:val="24"/>
          <w:lang w:eastAsia="hu-HU"/>
        </w:rPr>
        <w:t>a veszélyhelyzetre tekintettel a fennmaradó 40%</w:t>
      </w:r>
      <w:r w:rsidR="004559A6">
        <w:rPr>
          <w:rFonts w:ascii="Times New Roman" w:hAnsi="Times New Roman"/>
          <w:sz w:val="24"/>
          <w:szCs w:val="24"/>
          <w:lang w:eastAsia="hu-HU"/>
        </w:rPr>
        <w:t xml:space="preserve"> is</w:t>
      </w:r>
      <w:r w:rsidRPr="00FF43BD">
        <w:rPr>
          <w:rFonts w:ascii="Times New Roman" w:hAnsi="Times New Roman"/>
          <w:sz w:val="24"/>
          <w:szCs w:val="24"/>
          <w:lang w:eastAsia="hu-HU"/>
        </w:rPr>
        <w:t xml:space="preserve">, mely </w:t>
      </w:r>
      <w:proofErr w:type="spellStart"/>
      <w:r w:rsidRPr="00FF43BD">
        <w:rPr>
          <w:rFonts w:ascii="Times New Roman" w:hAnsi="Times New Roman"/>
          <w:sz w:val="24"/>
          <w:szCs w:val="24"/>
          <w:lang w:eastAsia="hu-HU"/>
        </w:rPr>
        <w:t>ezidáig</w:t>
      </w:r>
      <w:proofErr w:type="spellEnd"/>
      <w:r w:rsidRPr="00FF43BD">
        <w:rPr>
          <w:rFonts w:ascii="Times New Roman" w:hAnsi="Times New Roman"/>
          <w:sz w:val="24"/>
          <w:szCs w:val="24"/>
          <w:lang w:eastAsia="hu-HU"/>
        </w:rPr>
        <w:t xml:space="preserve"> az önkormányzat bevétele volt. A gépjárműadóval kapcsolatos eljárási feladatok, mint az adó megállapítása, beszedése, ellenőrzése továbbra is az önkormányzatok kötelezettsége maradt még 2020. évben.  </w:t>
      </w:r>
    </w:p>
    <w:p w14:paraId="015597BD" w14:textId="77777777" w:rsidR="00FF43BD" w:rsidRPr="00676249" w:rsidRDefault="00FF43BD" w:rsidP="00FF43BD">
      <w:pPr>
        <w:jc w:val="both"/>
        <w:rPr>
          <w:rFonts w:ascii="Times New Roman" w:hAnsi="Times New Roman"/>
          <w:sz w:val="24"/>
          <w:szCs w:val="24"/>
          <w:lang w:eastAsia="hu-HU"/>
        </w:rPr>
      </w:pPr>
      <w:r w:rsidRPr="00FF43BD">
        <w:rPr>
          <w:rFonts w:ascii="Times New Roman" w:hAnsi="Times New Roman"/>
          <w:sz w:val="24"/>
          <w:szCs w:val="24"/>
          <w:lang w:eastAsia="hu-HU"/>
        </w:rPr>
        <w:t xml:space="preserve">A hatályos szabályok szerint a gépjárműadóban az adóhatósági feladatokat 2020-ban még az önkormányzati adóhatóság látta el. </w:t>
      </w:r>
      <w:r w:rsidRPr="00676249">
        <w:rPr>
          <w:rFonts w:ascii="Times New Roman" w:hAnsi="Times New Roman"/>
          <w:sz w:val="24"/>
          <w:szCs w:val="24"/>
          <w:lang w:eastAsia="hu-HU"/>
        </w:rPr>
        <w:t xml:space="preserve">Magyarország 2021. év költségvetéséről szóló 2020. évi XC. törvénye azonban újabb rendelkezést tartalmaz a gépjárműadóról, és azt 2021-től teljes egészében a központi költségvetéshez rendeli. </w:t>
      </w:r>
      <w:r w:rsidR="00B101D4" w:rsidRPr="00676249">
        <w:rPr>
          <w:rFonts w:ascii="Times New Roman" w:hAnsi="Times New Roman"/>
          <w:sz w:val="24"/>
          <w:szCs w:val="24"/>
          <w:lang w:eastAsia="hu-HU"/>
        </w:rPr>
        <w:t>A törvény tehát</w:t>
      </w:r>
      <w:r w:rsidRPr="00676249">
        <w:rPr>
          <w:rFonts w:ascii="Times New Roman" w:hAnsi="Times New Roman"/>
          <w:sz w:val="24"/>
          <w:szCs w:val="24"/>
          <w:lang w:eastAsia="hu-HU"/>
        </w:rPr>
        <w:t xml:space="preserve"> a belföldi gépjárművek utáni gépjárműadóban az adóhatósági jogkört 2021. január 1-jével áttelepíti az adótárgy gépjármű tulajdonosa, üzembentartója szerint illetékes önkormányzati adóhatóságtól az állami adóhatósághoz, vagyis innentől kezdve a belföldi gépjárművek adóztatását a Nemzeti Adó- és Vámhivatal látja el. </w:t>
      </w:r>
    </w:p>
    <w:p w14:paraId="4BAAD200" w14:textId="77777777" w:rsidR="00B101D4" w:rsidRPr="00676249" w:rsidRDefault="00B101D4" w:rsidP="00FF43BD">
      <w:pPr>
        <w:jc w:val="both"/>
        <w:rPr>
          <w:rFonts w:ascii="Times New Roman" w:hAnsi="Times New Roman"/>
          <w:sz w:val="24"/>
          <w:szCs w:val="24"/>
          <w:lang w:eastAsia="hu-HU"/>
        </w:rPr>
      </w:pPr>
    </w:p>
    <w:p w14:paraId="73472782" w14:textId="74B49CAB" w:rsidR="00FF43BD" w:rsidRPr="00BB6FE9" w:rsidRDefault="00FF43BD" w:rsidP="00094B75">
      <w:pPr>
        <w:pStyle w:val="Cmsor3"/>
        <w:rPr>
          <w:rFonts w:ascii="Times New Roman" w:hAnsi="Times New Roman" w:cs="Times New Roman"/>
          <w:color w:val="auto"/>
          <w:lang w:eastAsia="hu-HU"/>
        </w:rPr>
      </w:pPr>
      <w:r w:rsidRPr="00BB6FE9">
        <w:rPr>
          <w:rFonts w:ascii="Times New Roman" w:hAnsi="Times New Roman" w:cs="Times New Roman"/>
          <w:color w:val="auto"/>
          <w:lang w:eastAsia="hu-HU"/>
        </w:rPr>
        <w:t>Adóemelés tilalma</w:t>
      </w:r>
    </w:p>
    <w:p w14:paraId="4FEB4641" w14:textId="77777777" w:rsidR="003A58D3" w:rsidRPr="003A58D3" w:rsidRDefault="003A58D3" w:rsidP="003A58D3">
      <w:pPr>
        <w:rPr>
          <w:lang w:eastAsia="hu-HU"/>
        </w:rPr>
      </w:pPr>
    </w:p>
    <w:p w14:paraId="0BC3A5E8" w14:textId="2623FB2D" w:rsidR="00FF43BD" w:rsidRDefault="00FF43BD" w:rsidP="00B101D4">
      <w:pPr>
        <w:jc w:val="both"/>
        <w:rPr>
          <w:rFonts w:ascii="Times New Roman" w:hAnsi="Times New Roman"/>
          <w:sz w:val="24"/>
          <w:szCs w:val="24"/>
          <w:lang w:eastAsia="hu-HU"/>
        </w:rPr>
      </w:pPr>
      <w:r w:rsidRPr="00676249">
        <w:rPr>
          <w:rFonts w:ascii="Times New Roman" w:hAnsi="Times New Roman"/>
          <w:sz w:val="24"/>
          <w:szCs w:val="24"/>
          <w:lang w:eastAsia="hu-HU"/>
        </w:rPr>
        <w:t xml:space="preserve">A Kormány gazdaságvédelmi akcióterv keretében további szigorításokat, kötöttségeket határozott meg a helyi adók vonatkozásában. A </w:t>
      </w:r>
      <w:proofErr w:type="spellStart"/>
      <w:r w:rsidRPr="00676249">
        <w:rPr>
          <w:rFonts w:ascii="Times New Roman" w:hAnsi="Times New Roman"/>
          <w:sz w:val="24"/>
          <w:szCs w:val="24"/>
          <w:lang w:eastAsia="hu-HU"/>
        </w:rPr>
        <w:t>a</w:t>
      </w:r>
      <w:proofErr w:type="spellEnd"/>
      <w:r w:rsidRPr="00676249">
        <w:rPr>
          <w:rFonts w:ascii="Times New Roman" w:hAnsi="Times New Roman"/>
          <w:sz w:val="24"/>
          <w:szCs w:val="24"/>
          <w:lang w:eastAsia="hu-HU"/>
        </w:rPr>
        <w:t xml:space="preserve"> koronavírus-világjárvány nemzetgazdaságot érintő hatásának enyhítése érdekében szükséges helyi adó intézkedésről 535/2020. (XII. 1.) Kormányrendelet rögzítette, h</w:t>
      </w:r>
      <w:r w:rsidR="00B101D4" w:rsidRPr="00676249">
        <w:rPr>
          <w:rFonts w:ascii="Times New Roman" w:hAnsi="Times New Roman"/>
          <w:sz w:val="24"/>
          <w:szCs w:val="24"/>
          <w:lang w:eastAsia="hu-HU"/>
        </w:rPr>
        <w:t>ogy 2021. adóévre vonatkozóan a</w:t>
      </w:r>
      <w:r w:rsidRPr="00676249">
        <w:rPr>
          <w:rFonts w:ascii="Times New Roman" w:hAnsi="Times New Roman"/>
          <w:sz w:val="24"/>
          <w:szCs w:val="24"/>
          <w:lang w:eastAsia="hu-HU"/>
        </w:rPr>
        <w:t xml:space="preserve"> helyi adók mértéke nem növekedhet, az adómentességet, adókedvezményt továbbra is biztosítani kell, és újabb adónem 2021. évre nem vezethető be. </w:t>
      </w:r>
    </w:p>
    <w:p w14:paraId="4D67A2B2" w14:textId="77777777" w:rsidR="00C55791" w:rsidRPr="00676249" w:rsidRDefault="00C55791" w:rsidP="00B101D4">
      <w:pPr>
        <w:jc w:val="both"/>
        <w:rPr>
          <w:rFonts w:ascii="Times New Roman" w:hAnsi="Times New Roman"/>
          <w:sz w:val="24"/>
          <w:szCs w:val="24"/>
          <w:lang w:eastAsia="hu-HU"/>
        </w:rPr>
      </w:pPr>
    </w:p>
    <w:p w14:paraId="6BC07C89" w14:textId="77777777" w:rsidR="00B101D4" w:rsidRPr="00676249" w:rsidRDefault="00B101D4" w:rsidP="00B101D4">
      <w:pPr>
        <w:jc w:val="both"/>
        <w:rPr>
          <w:rFonts w:ascii="Times New Roman" w:hAnsi="Times New Roman"/>
          <w:sz w:val="24"/>
          <w:szCs w:val="24"/>
          <w:lang w:eastAsia="hu-HU"/>
        </w:rPr>
      </w:pPr>
    </w:p>
    <w:p w14:paraId="52768A01" w14:textId="77777777" w:rsidR="00B101D4" w:rsidRPr="00BB6FE9" w:rsidRDefault="00900C8B" w:rsidP="008B3A73">
      <w:pPr>
        <w:pStyle w:val="Cmsor2"/>
        <w:rPr>
          <w:rFonts w:ascii="Times New Roman" w:hAnsi="Times New Roman" w:cs="Times New Roman"/>
          <w:color w:val="auto"/>
          <w:lang w:eastAsia="hu-HU"/>
        </w:rPr>
      </w:pPr>
      <w:r w:rsidRPr="00BB6FE9">
        <w:rPr>
          <w:rFonts w:ascii="Times New Roman" w:hAnsi="Times New Roman" w:cs="Times New Roman"/>
          <w:color w:val="auto"/>
          <w:lang w:eastAsia="hu-HU"/>
        </w:rPr>
        <w:t xml:space="preserve">Bevételek alakulása </w:t>
      </w:r>
    </w:p>
    <w:p w14:paraId="28993A7B" w14:textId="77777777" w:rsidR="00676249" w:rsidRPr="00676249" w:rsidRDefault="00676249" w:rsidP="00676249">
      <w:pPr>
        <w:jc w:val="both"/>
        <w:rPr>
          <w:rFonts w:ascii="Times New Roman" w:hAnsi="Times New Roman"/>
          <w:sz w:val="24"/>
          <w:szCs w:val="24"/>
        </w:rPr>
      </w:pPr>
    </w:p>
    <w:p w14:paraId="19654CAA" w14:textId="5BD48863" w:rsidR="00676249" w:rsidRPr="00676249" w:rsidRDefault="00676249" w:rsidP="00676249">
      <w:pPr>
        <w:jc w:val="both"/>
        <w:rPr>
          <w:rFonts w:ascii="Times New Roman" w:hAnsi="Times New Roman"/>
          <w:sz w:val="24"/>
          <w:szCs w:val="24"/>
        </w:rPr>
      </w:pPr>
      <w:r w:rsidRPr="00676249">
        <w:rPr>
          <w:rFonts w:ascii="Times New Roman" w:hAnsi="Times New Roman"/>
          <w:sz w:val="24"/>
          <w:szCs w:val="24"/>
        </w:rPr>
        <w:t xml:space="preserve">A bevételek, és ezen belül </w:t>
      </w:r>
      <w:r w:rsidR="0037339A">
        <w:rPr>
          <w:rFonts w:ascii="Times New Roman" w:hAnsi="Times New Roman"/>
          <w:sz w:val="24"/>
          <w:szCs w:val="24"/>
        </w:rPr>
        <w:t xml:space="preserve">a </w:t>
      </w:r>
      <w:r w:rsidRPr="00676249">
        <w:rPr>
          <w:rFonts w:ascii="Times New Roman" w:hAnsi="Times New Roman"/>
          <w:sz w:val="24"/>
          <w:szCs w:val="24"/>
        </w:rPr>
        <w:t xml:space="preserve">helyi adók tervezése mindig különös odafigyelést igényel az önkormányzat részéről, hiszen a költségvetés összeállítása elsősorban a bevételek nagyságának </w:t>
      </w:r>
      <w:r w:rsidRPr="00676249">
        <w:rPr>
          <w:rFonts w:ascii="Times New Roman" w:hAnsi="Times New Roman"/>
          <w:sz w:val="24"/>
          <w:szCs w:val="24"/>
        </w:rPr>
        <w:lastRenderedPageBreak/>
        <w:t xml:space="preserve">alakulásától függ. Éppen ezért a tervezés során kiemelt figyelmet kell szentelni a jogszabályi környezet változásaira, a gazdasági mutatók alakulására, az önkormányzat rövid és hosszú távú célkitűzéseire. 2020. év elején </w:t>
      </w:r>
      <w:r w:rsidR="00C55791">
        <w:rPr>
          <w:rFonts w:ascii="Times New Roman" w:hAnsi="Times New Roman"/>
          <w:sz w:val="24"/>
          <w:szCs w:val="24"/>
        </w:rPr>
        <w:t xml:space="preserve">Nyúl </w:t>
      </w:r>
      <w:r w:rsidR="00BB6FE9">
        <w:rPr>
          <w:rFonts w:ascii="Times New Roman" w:hAnsi="Times New Roman"/>
          <w:sz w:val="24"/>
          <w:szCs w:val="24"/>
        </w:rPr>
        <w:t>Község</w:t>
      </w:r>
      <w:r w:rsidR="000E494F">
        <w:rPr>
          <w:rFonts w:ascii="Times New Roman" w:hAnsi="Times New Roman"/>
          <w:sz w:val="24"/>
          <w:szCs w:val="24"/>
        </w:rPr>
        <w:t xml:space="preserve"> </w:t>
      </w:r>
      <w:r w:rsidRPr="00676249">
        <w:rPr>
          <w:rFonts w:ascii="Times New Roman" w:hAnsi="Times New Roman"/>
          <w:sz w:val="24"/>
          <w:szCs w:val="24"/>
        </w:rPr>
        <w:t>Képviselő-testülete még nem számolt a koronavírus-járvány esetleges következményeivel, illetve annak költségvetésre gyakorolt hatásaival sem. Ennek megfelelően, az előző évi – 2019. – tényadatokra támaszkodva, valamint igazodva a gazdaságpolitikai célkitűzésekhez, és a helyi adópolitikához az alábbi bevételek előirányzását tűzte ki magának 2020. évre:</w:t>
      </w:r>
    </w:p>
    <w:p w14:paraId="5E3AD046" w14:textId="77777777" w:rsidR="00676249" w:rsidRPr="00676249" w:rsidRDefault="00676249" w:rsidP="00676249">
      <w:pPr>
        <w:pStyle w:val="Kpalrs"/>
        <w:ind w:left="720"/>
      </w:pPr>
    </w:p>
    <w:p w14:paraId="11550851" w14:textId="77777777" w:rsidR="00676249" w:rsidRPr="00676249" w:rsidRDefault="00676249" w:rsidP="00523EC1">
      <w:pPr>
        <w:pStyle w:val="Kpalrs"/>
        <w:jc w:val="center"/>
      </w:pPr>
      <w:r w:rsidRPr="00676249">
        <w:t>Adóbevételek tervezése 2020.</w:t>
      </w:r>
    </w:p>
    <w:p w14:paraId="062CBAB6" w14:textId="77777777" w:rsidR="00676249" w:rsidRPr="00523EC1" w:rsidRDefault="00676249" w:rsidP="00523EC1">
      <w:pPr>
        <w:jc w:val="center"/>
        <w:rPr>
          <w:rFonts w:ascii="Times New Roman" w:hAnsi="Times New Roman"/>
          <w:sz w:val="16"/>
          <w:szCs w:val="16"/>
          <w:lang w:eastAsia="hu-HU"/>
        </w:rPr>
      </w:pPr>
      <w:r w:rsidRPr="00523EC1">
        <w:rPr>
          <w:rFonts w:ascii="Times New Roman" w:hAnsi="Times New Roman"/>
          <w:sz w:val="16"/>
          <w:szCs w:val="16"/>
          <w:lang w:eastAsia="hu-HU"/>
        </w:rPr>
        <w:t>adatok ezer forintban</w:t>
      </w:r>
    </w:p>
    <w:p w14:paraId="7D037CD4" w14:textId="77777777" w:rsidR="00676249" w:rsidRPr="00676249" w:rsidRDefault="00676249" w:rsidP="00676249">
      <w:pPr>
        <w:pStyle w:val="Listaszerbekezds"/>
        <w:rPr>
          <w:rFonts w:ascii="Times New Roman" w:eastAsia="Times New Roman" w:hAnsi="Times New Roman"/>
          <w:sz w:val="24"/>
          <w:szCs w:val="24"/>
        </w:rPr>
      </w:pPr>
    </w:p>
    <w:tbl>
      <w:tblPr>
        <w:tblW w:w="4106" w:type="dxa"/>
        <w:jc w:val="center"/>
        <w:tblCellMar>
          <w:left w:w="70" w:type="dxa"/>
          <w:right w:w="70" w:type="dxa"/>
        </w:tblCellMar>
        <w:tblLook w:val="04A0" w:firstRow="1" w:lastRow="0" w:firstColumn="1" w:lastColumn="0" w:noHBand="0" w:noVBand="1"/>
      </w:tblPr>
      <w:tblGrid>
        <w:gridCol w:w="1768"/>
        <w:gridCol w:w="2338"/>
      </w:tblGrid>
      <w:tr w:rsidR="00C55791" w:rsidRPr="000E494F" w14:paraId="70E41BFD" w14:textId="77777777" w:rsidTr="00C55791">
        <w:trPr>
          <w:gridAfter w:val="1"/>
          <w:wAfter w:w="2338" w:type="dxa"/>
          <w:trHeight w:val="269"/>
          <w:jc w:val="center"/>
        </w:trPr>
        <w:tc>
          <w:tcPr>
            <w:tcW w:w="1768" w:type="dxa"/>
            <w:vMerge w:val="restart"/>
            <w:tcBorders>
              <w:top w:val="single" w:sz="4" w:space="0" w:color="auto"/>
              <w:left w:val="single" w:sz="4" w:space="0" w:color="auto"/>
              <w:bottom w:val="single" w:sz="4" w:space="0" w:color="auto"/>
              <w:right w:val="single" w:sz="4" w:space="0" w:color="auto"/>
            </w:tcBorders>
            <w:shd w:val="clear" w:color="000000" w:fill="DCF3FE"/>
            <w:vAlign w:val="center"/>
            <w:hideMark/>
          </w:tcPr>
          <w:p w14:paraId="09D8D15F" w14:textId="77777777" w:rsidR="00C55791" w:rsidRPr="000E494F" w:rsidRDefault="00C55791" w:rsidP="00BC5063">
            <w:pPr>
              <w:jc w:val="center"/>
              <w:rPr>
                <w:rFonts w:ascii="Times New Roman" w:eastAsia="Times New Roman" w:hAnsi="Times New Roman"/>
                <w:b/>
                <w:bCs/>
                <w:color w:val="000000"/>
                <w:sz w:val="14"/>
                <w:szCs w:val="14"/>
                <w:lang w:eastAsia="hu-HU"/>
              </w:rPr>
            </w:pPr>
            <w:r w:rsidRPr="000E494F">
              <w:rPr>
                <w:rFonts w:ascii="Times New Roman" w:eastAsia="Times New Roman" w:hAnsi="Times New Roman"/>
                <w:b/>
                <w:bCs/>
                <w:color w:val="000000"/>
                <w:sz w:val="14"/>
                <w:szCs w:val="14"/>
                <w:lang w:eastAsia="hu-HU"/>
              </w:rPr>
              <w:t>Adónem</w:t>
            </w:r>
          </w:p>
        </w:tc>
      </w:tr>
      <w:tr w:rsidR="00C55791" w:rsidRPr="000E494F" w14:paraId="00191E7B" w14:textId="77777777" w:rsidTr="00C55791">
        <w:trPr>
          <w:trHeight w:val="630"/>
          <w:jc w:val="center"/>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7A12A45B" w14:textId="77777777" w:rsidR="00C55791" w:rsidRPr="000E494F" w:rsidRDefault="00C55791" w:rsidP="00BC5063">
            <w:pPr>
              <w:rPr>
                <w:rFonts w:ascii="Times New Roman" w:eastAsia="Times New Roman" w:hAnsi="Times New Roman"/>
                <w:b/>
                <w:bCs/>
                <w:color w:val="000000"/>
                <w:sz w:val="14"/>
                <w:szCs w:val="14"/>
                <w:lang w:eastAsia="hu-HU"/>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09403AB6" w14:textId="30F0E73D" w:rsidR="00C55791" w:rsidRPr="000E494F" w:rsidRDefault="00C55791" w:rsidP="00BC5063">
            <w:pPr>
              <w:rPr>
                <w:rFonts w:ascii="Times New Roman" w:eastAsia="Times New Roman" w:hAnsi="Times New Roman"/>
                <w:b/>
                <w:bCs/>
                <w:sz w:val="14"/>
                <w:szCs w:val="14"/>
                <w:lang w:eastAsia="hu-HU"/>
              </w:rPr>
            </w:pPr>
            <w:r>
              <w:rPr>
                <w:rFonts w:ascii="Times New Roman" w:eastAsia="Times New Roman" w:hAnsi="Times New Roman"/>
                <w:b/>
                <w:bCs/>
                <w:sz w:val="14"/>
                <w:szCs w:val="14"/>
                <w:lang w:eastAsia="hu-HU"/>
              </w:rPr>
              <w:t>Betervezett bevétel</w:t>
            </w:r>
            <w:r w:rsidR="000864F4">
              <w:rPr>
                <w:rFonts w:ascii="Times New Roman" w:eastAsia="Times New Roman" w:hAnsi="Times New Roman"/>
                <w:b/>
                <w:bCs/>
                <w:sz w:val="14"/>
                <w:szCs w:val="14"/>
                <w:lang w:eastAsia="hu-HU"/>
              </w:rPr>
              <w:t xml:space="preserve"> </w:t>
            </w:r>
            <w:r>
              <w:rPr>
                <w:rFonts w:ascii="Times New Roman" w:eastAsia="Times New Roman" w:hAnsi="Times New Roman"/>
                <w:b/>
                <w:bCs/>
                <w:sz w:val="14"/>
                <w:szCs w:val="14"/>
                <w:lang w:eastAsia="hu-HU"/>
              </w:rPr>
              <w:t>2020-ra</w:t>
            </w:r>
          </w:p>
        </w:tc>
      </w:tr>
      <w:tr w:rsidR="00C55791" w:rsidRPr="000E494F" w14:paraId="54595EBA"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5EB2F74D"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Építményadó</w:t>
            </w:r>
          </w:p>
        </w:tc>
        <w:tc>
          <w:tcPr>
            <w:tcW w:w="2338" w:type="dxa"/>
            <w:tcBorders>
              <w:top w:val="nil"/>
              <w:left w:val="nil"/>
              <w:bottom w:val="single" w:sz="4" w:space="0" w:color="auto"/>
              <w:right w:val="single" w:sz="4" w:space="0" w:color="auto"/>
            </w:tcBorders>
            <w:shd w:val="clear" w:color="auto" w:fill="auto"/>
            <w:noWrap/>
            <w:vAlign w:val="bottom"/>
            <w:hideMark/>
          </w:tcPr>
          <w:p w14:paraId="2E56D5EB" w14:textId="3239DCCC" w:rsidR="00C55791" w:rsidRPr="000E494F" w:rsidRDefault="00C55791" w:rsidP="00BC5063">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6</w:t>
            </w:r>
            <w:r w:rsidR="000864F4">
              <w:rPr>
                <w:rFonts w:ascii="Times New Roman" w:eastAsia="Times New Roman" w:hAnsi="Times New Roman"/>
                <w:sz w:val="14"/>
                <w:szCs w:val="14"/>
                <w:lang w:eastAsia="hu-HU"/>
              </w:rPr>
              <w:t> </w:t>
            </w:r>
            <w:r>
              <w:rPr>
                <w:rFonts w:ascii="Times New Roman" w:eastAsia="Times New Roman" w:hAnsi="Times New Roman"/>
                <w:sz w:val="14"/>
                <w:szCs w:val="14"/>
                <w:lang w:eastAsia="hu-HU"/>
              </w:rPr>
              <w:t>00</w:t>
            </w:r>
            <w:r w:rsidR="000864F4">
              <w:rPr>
                <w:rFonts w:ascii="Times New Roman" w:eastAsia="Times New Roman" w:hAnsi="Times New Roman"/>
                <w:sz w:val="14"/>
                <w:szCs w:val="14"/>
                <w:lang w:eastAsia="hu-HU"/>
              </w:rPr>
              <w:t xml:space="preserve">0 </w:t>
            </w:r>
            <w:r>
              <w:rPr>
                <w:rFonts w:ascii="Times New Roman" w:eastAsia="Times New Roman" w:hAnsi="Times New Roman"/>
                <w:sz w:val="14"/>
                <w:szCs w:val="14"/>
                <w:lang w:eastAsia="hu-HU"/>
              </w:rPr>
              <w:t>00</w:t>
            </w:r>
            <w:r w:rsidR="000864F4">
              <w:rPr>
                <w:rFonts w:ascii="Times New Roman" w:eastAsia="Times New Roman" w:hAnsi="Times New Roman"/>
                <w:sz w:val="14"/>
                <w:szCs w:val="14"/>
                <w:lang w:eastAsia="hu-HU"/>
              </w:rPr>
              <w:t>0 Ft</w:t>
            </w:r>
          </w:p>
        </w:tc>
      </w:tr>
      <w:tr w:rsidR="00C55791" w:rsidRPr="000E494F" w14:paraId="649995E7"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0393F4EB"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Idegenforgalmi adó</w:t>
            </w:r>
          </w:p>
        </w:tc>
        <w:tc>
          <w:tcPr>
            <w:tcW w:w="2338" w:type="dxa"/>
            <w:tcBorders>
              <w:top w:val="nil"/>
              <w:left w:val="nil"/>
              <w:bottom w:val="single" w:sz="4" w:space="0" w:color="auto"/>
              <w:right w:val="single" w:sz="4" w:space="0" w:color="auto"/>
            </w:tcBorders>
            <w:shd w:val="clear" w:color="auto" w:fill="auto"/>
            <w:noWrap/>
            <w:vAlign w:val="bottom"/>
            <w:hideMark/>
          </w:tcPr>
          <w:p w14:paraId="7255E75B" w14:textId="272EFF3A" w:rsidR="00C55791" w:rsidRPr="000E494F" w:rsidRDefault="00C55791" w:rsidP="00BC5063">
            <w:pPr>
              <w:jc w:val="right"/>
              <w:rPr>
                <w:rFonts w:ascii="Times New Roman" w:eastAsia="Times New Roman" w:hAnsi="Times New Roman"/>
                <w:sz w:val="14"/>
                <w:szCs w:val="14"/>
                <w:lang w:eastAsia="hu-HU"/>
              </w:rPr>
            </w:pPr>
            <w:r w:rsidRPr="000E494F">
              <w:rPr>
                <w:rFonts w:ascii="Times New Roman" w:eastAsia="Times New Roman" w:hAnsi="Times New Roman"/>
                <w:sz w:val="14"/>
                <w:szCs w:val="14"/>
                <w:lang w:eastAsia="hu-HU"/>
              </w:rPr>
              <w:t xml:space="preserve">            </w:t>
            </w:r>
            <w:r w:rsidR="000864F4">
              <w:rPr>
                <w:rFonts w:ascii="Times New Roman" w:eastAsia="Times New Roman" w:hAnsi="Times New Roman"/>
                <w:sz w:val="14"/>
                <w:szCs w:val="14"/>
                <w:lang w:eastAsia="hu-HU"/>
              </w:rPr>
              <w:t>700.000 Ft</w:t>
            </w:r>
            <w:r w:rsidRPr="000E494F">
              <w:rPr>
                <w:rFonts w:ascii="Times New Roman" w:eastAsia="Times New Roman" w:hAnsi="Times New Roman"/>
                <w:sz w:val="14"/>
                <w:szCs w:val="14"/>
                <w:lang w:eastAsia="hu-HU"/>
              </w:rPr>
              <w:t xml:space="preserve">    </w:t>
            </w:r>
          </w:p>
        </w:tc>
      </w:tr>
      <w:tr w:rsidR="00C55791" w:rsidRPr="000E494F" w14:paraId="3D432C37"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7318A4E5"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Iparűzési adó</w:t>
            </w:r>
          </w:p>
        </w:tc>
        <w:tc>
          <w:tcPr>
            <w:tcW w:w="2338" w:type="dxa"/>
            <w:tcBorders>
              <w:top w:val="nil"/>
              <w:left w:val="nil"/>
              <w:bottom w:val="single" w:sz="4" w:space="0" w:color="auto"/>
              <w:right w:val="single" w:sz="4" w:space="0" w:color="auto"/>
            </w:tcBorders>
            <w:shd w:val="clear" w:color="auto" w:fill="auto"/>
            <w:noWrap/>
            <w:vAlign w:val="bottom"/>
            <w:hideMark/>
          </w:tcPr>
          <w:p w14:paraId="61E22F73" w14:textId="107D5A67" w:rsidR="00C55791" w:rsidRPr="000E494F" w:rsidRDefault="000864F4" w:rsidP="00BC5063">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142.240.417 Ft</w:t>
            </w:r>
            <w:r w:rsidR="00C55791" w:rsidRPr="000E494F">
              <w:rPr>
                <w:rFonts w:ascii="Times New Roman" w:eastAsia="Times New Roman" w:hAnsi="Times New Roman"/>
                <w:sz w:val="14"/>
                <w:szCs w:val="14"/>
                <w:lang w:eastAsia="hu-HU"/>
              </w:rPr>
              <w:t xml:space="preserve">    </w:t>
            </w:r>
          </w:p>
        </w:tc>
      </w:tr>
      <w:tr w:rsidR="00C55791" w:rsidRPr="000E494F" w14:paraId="4BA4ECD3"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550400DD"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Gépjárműadó</w:t>
            </w:r>
          </w:p>
        </w:tc>
        <w:tc>
          <w:tcPr>
            <w:tcW w:w="2338" w:type="dxa"/>
            <w:tcBorders>
              <w:top w:val="nil"/>
              <w:left w:val="nil"/>
              <w:bottom w:val="single" w:sz="4" w:space="0" w:color="auto"/>
              <w:right w:val="single" w:sz="4" w:space="0" w:color="auto"/>
            </w:tcBorders>
            <w:shd w:val="clear" w:color="auto" w:fill="auto"/>
            <w:noWrap/>
            <w:vAlign w:val="bottom"/>
            <w:hideMark/>
          </w:tcPr>
          <w:p w14:paraId="4E5C7297" w14:textId="604390AB" w:rsidR="00C55791" w:rsidRPr="000E494F" w:rsidRDefault="00C55791" w:rsidP="00BC5063">
            <w:pPr>
              <w:jc w:val="right"/>
              <w:rPr>
                <w:rFonts w:ascii="Times New Roman" w:eastAsia="Times New Roman" w:hAnsi="Times New Roman"/>
                <w:sz w:val="14"/>
                <w:szCs w:val="14"/>
                <w:lang w:eastAsia="hu-HU"/>
              </w:rPr>
            </w:pPr>
            <w:r w:rsidRPr="000E494F">
              <w:rPr>
                <w:rFonts w:ascii="Times New Roman" w:eastAsia="Times New Roman" w:hAnsi="Times New Roman"/>
                <w:sz w:val="14"/>
                <w:szCs w:val="14"/>
                <w:lang w:eastAsia="hu-HU"/>
              </w:rPr>
              <w:t xml:space="preserve">          </w:t>
            </w:r>
            <w:r w:rsidR="000864F4">
              <w:rPr>
                <w:rFonts w:ascii="Times New Roman" w:eastAsia="Times New Roman" w:hAnsi="Times New Roman"/>
                <w:sz w:val="14"/>
                <w:szCs w:val="14"/>
                <w:lang w:eastAsia="hu-HU"/>
              </w:rPr>
              <w:t>21.000.000 Ft</w:t>
            </w:r>
            <w:r w:rsidRPr="000E494F">
              <w:rPr>
                <w:rFonts w:ascii="Times New Roman" w:eastAsia="Times New Roman" w:hAnsi="Times New Roman"/>
                <w:sz w:val="14"/>
                <w:szCs w:val="14"/>
                <w:lang w:eastAsia="hu-HU"/>
              </w:rPr>
              <w:t xml:space="preserve">    </w:t>
            </w:r>
          </w:p>
        </w:tc>
      </w:tr>
      <w:tr w:rsidR="00C55791" w:rsidRPr="000E494F" w14:paraId="1EA44817"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111E3445" w14:textId="23A7DF82" w:rsidR="00C55791" w:rsidRPr="000E494F" w:rsidRDefault="00C55791" w:rsidP="00BC5063">
            <w:pPr>
              <w:rPr>
                <w:rFonts w:ascii="Times New Roman" w:eastAsia="Times New Roman" w:hAnsi="Times New Roman"/>
                <w:b/>
                <w:bCs/>
                <w:sz w:val="14"/>
                <w:szCs w:val="14"/>
                <w:lang w:eastAsia="hu-HU"/>
              </w:rPr>
            </w:pPr>
            <w:r>
              <w:rPr>
                <w:rFonts w:ascii="Times New Roman" w:eastAsia="Times New Roman" w:hAnsi="Times New Roman"/>
                <w:b/>
                <w:bCs/>
                <w:sz w:val="14"/>
                <w:szCs w:val="14"/>
                <w:lang w:eastAsia="hu-HU"/>
              </w:rPr>
              <w:t>Kommunális</w:t>
            </w:r>
            <w:r w:rsidR="005F41AB">
              <w:rPr>
                <w:rFonts w:ascii="Times New Roman" w:eastAsia="Times New Roman" w:hAnsi="Times New Roman"/>
                <w:b/>
                <w:bCs/>
                <w:sz w:val="14"/>
                <w:szCs w:val="14"/>
                <w:lang w:eastAsia="hu-HU"/>
              </w:rPr>
              <w:t xml:space="preserve"> adó</w:t>
            </w:r>
          </w:p>
        </w:tc>
        <w:tc>
          <w:tcPr>
            <w:tcW w:w="2338" w:type="dxa"/>
            <w:tcBorders>
              <w:top w:val="nil"/>
              <w:left w:val="nil"/>
              <w:bottom w:val="single" w:sz="4" w:space="0" w:color="auto"/>
              <w:right w:val="single" w:sz="4" w:space="0" w:color="auto"/>
            </w:tcBorders>
            <w:shd w:val="clear" w:color="auto" w:fill="auto"/>
            <w:noWrap/>
            <w:vAlign w:val="bottom"/>
            <w:hideMark/>
          </w:tcPr>
          <w:p w14:paraId="37504CEF" w14:textId="1BA48B5D" w:rsidR="00C55791" w:rsidRPr="000E494F" w:rsidRDefault="00C55791" w:rsidP="00BC5063">
            <w:pPr>
              <w:jc w:val="right"/>
              <w:rPr>
                <w:rFonts w:ascii="Times New Roman" w:eastAsia="Times New Roman" w:hAnsi="Times New Roman"/>
                <w:sz w:val="14"/>
                <w:szCs w:val="14"/>
                <w:lang w:eastAsia="hu-HU"/>
              </w:rPr>
            </w:pPr>
            <w:r w:rsidRPr="000E494F">
              <w:rPr>
                <w:rFonts w:ascii="Times New Roman" w:eastAsia="Times New Roman" w:hAnsi="Times New Roman"/>
                <w:sz w:val="14"/>
                <w:szCs w:val="14"/>
                <w:lang w:eastAsia="hu-HU"/>
              </w:rPr>
              <w:t xml:space="preserve">            </w:t>
            </w:r>
            <w:r w:rsidR="000864F4">
              <w:rPr>
                <w:rFonts w:ascii="Times New Roman" w:eastAsia="Times New Roman" w:hAnsi="Times New Roman"/>
                <w:sz w:val="14"/>
                <w:szCs w:val="14"/>
                <w:lang w:eastAsia="hu-HU"/>
              </w:rPr>
              <w:t>17.500.000 Ft</w:t>
            </w:r>
          </w:p>
        </w:tc>
      </w:tr>
      <w:tr w:rsidR="00C55791" w:rsidRPr="000E494F" w14:paraId="306244E4"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1F6E56FA"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Késedelmi pótlék</w:t>
            </w:r>
          </w:p>
        </w:tc>
        <w:tc>
          <w:tcPr>
            <w:tcW w:w="2338" w:type="dxa"/>
            <w:tcBorders>
              <w:top w:val="nil"/>
              <w:left w:val="nil"/>
              <w:bottom w:val="single" w:sz="4" w:space="0" w:color="auto"/>
              <w:right w:val="single" w:sz="4" w:space="0" w:color="auto"/>
            </w:tcBorders>
            <w:shd w:val="clear" w:color="auto" w:fill="auto"/>
            <w:noWrap/>
            <w:vAlign w:val="bottom"/>
            <w:hideMark/>
          </w:tcPr>
          <w:p w14:paraId="742451C7" w14:textId="06C23A98" w:rsidR="00C55791" w:rsidRPr="000E494F" w:rsidRDefault="00C55791" w:rsidP="00BC5063">
            <w:pPr>
              <w:jc w:val="right"/>
              <w:rPr>
                <w:rFonts w:ascii="Times New Roman" w:eastAsia="Times New Roman" w:hAnsi="Times New Roman"/>
                <w:sz w:val="14"/>
                <w:szCs w:val="14"/>
                <w:lang w:eastAsia="hu-HU"/>
              </w:rPr>
            </w:pPr>
            <w:r w:rsidRPr="000E494F">
              <w:rPr>
                <w:rFonts w:ascii="Times New Roman" w:eastAsia="Times New Roman" w:hAnsi="Times New Roman"/>
                <w:sz w:val="14"/>
                <w:szCs w:val="14"/>
                <w:lang w:eastAsia="hu-HU"/>
              </w:rPr>
              <w:t xml:space="preserve">               </w:t>
            </w:r>
            <w:r w:rsidR="000864F4">
              <w:rPr>
                <w:rFonts w:ascii="Times New Roman" w:eastAsia="Times New Roman" w:hAnsi="Times New Roman"/>
                <w:sz w:val="14"/>
                <w:szCs w:val="14"/>
                <w:lang w:eastAsia="hu-HU"/>
              </w:rPr>
              <w:t xml:space="preserve">1.000.000 </w:t>
            </w:r>
            <w:proofErr w:type="spellStart"/>
            <w:r w:rsidR="000864F4">
              <w:rPr>
                <w:rFonts w:ascii="Times New Roman" w:eastAsia="Times New Roman" w:hAnsi="Times New Roman"/>
                <w:sz w:val="14"/>
                <w:szCs w:val="14"/>
                <w:lang w:eastAsia="hu-HU"/>
              </w:rPr>
              <w:t>Fz</w:t>
            </w:r>
            <w:proofErr w:type="spellEnd"/>
          </w:p>
        </w:tc>
      </w:tr>
      <w:tr w:rsidR="00C55791" w:rsidRPr="000E494F" w14:paraId="0D237AA3"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5ABF29A9"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Talajterhelési díj</w:t>
            </w:r>
          </w:p>
        </w:tc>
        <w:tc>
          <w:tcPr>
            <w:tcW w:w="2338" w:type="dxa"/>
            <w:tcBorders>
              <w:top w:val="nil"/>
              <w:left w:val="nil"/>
              <w:bottom w:val="single" w:sz="4" w:space="0" w:color="auto"/>
              <w:right w:val="single" w:sz="4" w:space="0" w:color="auto"/>
            </w:tcBorders>
            <w:shd w:val="clear" w:color="auto" w:fill="auto"/>
            <w:noWrap/>
            <w:vAlign w:val="bottom"/>
            <w:hideMark/>
          </w:tcPr>
          <w:p w14:paraId="672EE566" w14:textId="19CBD8F1" w:rsidR="00C55791" w:rsidRPr="000E494F" w:rsidRDefault="00C55791" w:rsidP="00BC5063">
            <w:pPr>
              <w:jc w:val="right"/>
              <w:rPr>
                <w:rFonts w:ascii="Times New Roman" w:eastAsia="Times New Roman" w:hAnsi="Times New Roman"/>
                <w:sz w:val="14"/>
                <w:szCs w:val="14"/>
                <w:lang w:eastAsia="hu-HU"/>
              </w:rPr>
            </w:pPr>
            <w:r w:rsidRPr="000E494F">
              <w:rPr>
                <w:rFonts w:ascii="Times New Roman" w:eastAsia="Times New Roman" w:hAnsi="Times New Roman"/>
                <w:sz w:val="14"/>
                <w:szCs w:val="14"/>
                <w:lang w:eastAsia="hu-HU"/>
              </w:rPr>
              <w:t xml:space="preserve">                  </w:t>
            </w:r>
            <w:r w:rsidR="000864F4">
              <w:rPr>
                <w:rFonts w:ascii="Times New Roman" w:eastAsia="Times New Roman" w:hAnsi="Times New Roman"/>
                <w:sz w:val="14"/>
                <w:szCs w:val="14"/>
                <w:lang w:eastAsia="hu-HU"/>
              </w:rPr>
              <w:t>100.000 Ft</w:t>
            </w:r>
            <w:r w:rsidRPr="000E494F">
              <w:rPr>
                <w:rFonts w:ascii="Times New Roman" w:eastAsia="Times New Roman" w:hAnsi="Times New Roman"/>
                <w:sz w:val="14"/>
                <w:szCs w:val="14"/>
                <w:lang w:eastAsia="hu-HU"/>
              </w:rPr>
              <w:t xml:space="preserve">    </w:t>
            </w:r>
          </w:p>
        </w:tc>
      </w:tr>
      <w:tr w:rsidR="00C55791" w:rsidRPr="000864F4" w14:paraId="72F73CB4" w14:textId="77777777" w:rsidTr="00C55791">
        <w:trPr>
          <w:trHeight w:val="255"/>
          <w:jc w:val="center"/>
        </w:trPr>
        <w:tc>
          <w:tcPr>
            <w:tcW w:w="1768" w:type="dxa"/>
            <w:tcBorders>
              <w:top w:val="nil"/>
              <w:left w:val="single" w:sz="4" w:space="0" w:color="auto"/>
              <w:bottom w:val="single" w:sz="4" w:space="0" w:color="auto"/>
              <w:right w:val="single" w:sz="4" w:space="0" w:color="auto"/>
            </w:tcBorders>
            <w:shd w:val="clear" w:color="000000" w:fill="DCF3FE"/>
            <w:noWrap/>
            <w:vAlign w:val="bottom"/>
            <w:hideMark/>
          </w:tcPr>
          <w:p w14:paraId="25246701" w14:textId="77777777" w:rsidR="00C55791" w:rsidRPr="000E494F" w:rsidRDefault="00C55791" w:rsidP="00BC5063">
            <w:pPr>
              <w:rPr>
                <w:rFonts w:ascii="Times New Roman" w:eastAsia="Times New Roman" w:hAnsi="Times New Roman"/>
                <w:b/>
                <w:bCs/>
                <w:sz w:val="14"/>
                <w:szCs w:val="14"/>
                <w:lang w:eastAsia="hu-HU"/>
              </w:rPr>
            </w:pPr>
            <w:r w:rsidRPr="000E494F">
              <w:rPr>
                <w:rFonts w:ascii="Times New Roman" w:eastAsia="Times New Roman" w:hAnsi="Times New Roman"/>
                <w:b/>
                <w:bCs/>
                <w:sz w:val="14"/>
                <w:szCs w:val="14"/>
                <w:lang w:eastAsia="hu-HU"/>
              </w:rPr>
              <w:t>Összesen:</w:t>
            </w:r>
          </w:p>
        </w:tc>
        <w:tc>
          <w:tcPr>
            <w:tcW w:w="2338" w:type="dxa"/>
            <w:tcBorders>
              <w:top w:val="nil"/>
              <w:left w:val="nil"/>
              <w:bottom w:val="single" w:sz="4" w:space="0" w:color="auto"/>
              <w:right w:val="single" w:sz="4" w:space="0" w:color="auto"/>
            </w:tcBorders>
            <w:shd w:val="clear" w:color="auto" w:fill="auto"/>
            <w:noWrap/>
            <w:vAlign w:val="bottom"/>
            <w:hideMark/>
          </w:tcPr>
          <w:p w14:paraId="4D0925AD" w14:textId="17799229" w:rsidR="00C55791" w:rsidRPr="000864F4" w:rsidRDefault="000864F4" w:rsidP="00523EC1">
            <w:pPr>
              <w:pStyle w:val="Listaszerbekezds"/>
              <w:ind w:left="570"/>
              <w:jc w:val="right"/>
              <w:rPr>
                <w:rFonts w:ascii="Times New Roman" w:eastAsia="Times New Roman" w:hAnsi="Times New Roman"/>
                <w:sz w:val="14"/>
                <w:szCs w:val="14"/>
                <w:lang w:eastAsia="hu-HU"/>
              </w:rPr>
            </w:pPr>
            <w:r w:rsidRPr="000864F4">
              <w:rPr>
                <w:rFonts w:ascii="Times New Roman" w:eastAsia="Times New Roman" w:hAnsi="Times New Roman"/>
                <w:sz w:val="14"/>
                <w:szCs w:val="14"/>
                <w:lang w:eastAsia="hu-HU"/>
              </w:rPr>
              <w:t>188 540 417 F</w:t>
            </w:r>
            <w:r>
              <w:rPr>
                <w:rFonts w:ascii="Times New Roman" w:eastAsia="Times New Roman" w:hAnsi="Times New Roman"/>
                <w:sz w:val="14"/>
                <w:szCs w:val="14"/>
                <w:lang w:eastAsia="hu-HU"/>
              </w:rPr>
              <w:t>t</w:t>
            </w:r>
          </w:p>
        </w:tc>
      </w:tr>
    </w:tbl>
    <w:p w14:paraId="11E0C3F3" w14:textId="77777777" w:rsidR="00676249" w:rsidRPr="00676249" w:rsidRDefault="00676249" w:rsidP="00523EC1">
      <w:pPr>
        <w:pStyle w:val="Listaszerbekezds"/>
        <w:tabs>
          <w:tab w:val="left" w:pos="709"/>
        </w:tabs>
        <w:spacing w:line="360" w:lineRule="auto"/>
        <w:rPr>
          <w:rFonts w:ascii="Times New Roman" w:eastAsia="Times New Roman" w:hAnsi="Times New Roman"/>
          <w:i/>
          <w:sz w:val="18"/>
          <w:szCs w:val="18"/>
          <w:lang w:eastAsia="hu-HU"/>
        </w:rPr>
      </w:pPr>
    </w:p>
    <w:p w14:paraId="76C9ECCF" w14:textId="03894268" w:rsidR="00676249" w:rsidRPr="00676249" w:rsidRDefault="00676249" w:rsidP="00676249">
      <w:pPr>
        <w:jc w:val="both"/>
        <w:rPr>
          <w:rFonts w:ascii="Times New Roman" w:eastAsia="Times New Roman" w:hAnsi="Times New Roman"/>
          <w:sz w:val="24"/>
          <w:szCs w:val="24"/>
          <w:lang w:eastAsia="hu-HU"/>
        </w:rPr>
      </w:pPr>
      <w:r w:rsidRPr="00676249">
        <w:rPr>
          <w:rFonts w:ascii="Times New Roman" w:eastAsia="Times New Roman" w:hAnsi="Times New Roman"/>
          <w:sz w:val="24"/>
          <w:szCs w:val="24"/>
          <w:lang w:eastAsia="hu-HU"/>
        </w:rPr>
        <w:t>Mint már korábban is említésre került, a Kormány 2020.</w:t>
      </w:r>
      <w:r w:rsidR="000E494F">
        <w:rPr>
          <w:rFonts w:ascii="Times New Roman" w:eastAsia="Times New Roman" w:hAnsi="Times New Roman"/>
          <w:sz w:val="24"/>
          <w:szCs w:val="24"/>
          <w:lang w:eastAsia="hu-HU"/>
        </w:rPr>
        <w:t xml:space="preserve"> </w:t>
      </w:r>
      <w:r w:rsidRPr="00676249">
        <w:rPr>
          <w:rFonts w:ascii="Times New Roman" w:eastAsia="Times New Roman" w:hAnsi="Times New Roman"/>
          <w:sz w:val="24"/>
          <w:szCs w:val="24"/>
          <w:lang w:eastAsia="hu-HU"/>
        </w:rPr>
        <w:t xml:space="preserve">március 11-én az élet- és vagyonbiztonságot veszélyeztető tömeges megbetegedést okozó humánjárvány következményeinek elhárítása, a magyar állampolgárok egészségének és életének megóvása érdekében Magyarország egész területére veszélyhelyzetet hirdetett ki. A veszélyhelyzet alatt a kormány néhány olyan adóügyi intézkedésekről döntött melyek alapjaiban érintették a </w:t>
      </w:r>
      <w:r w:rsidR="00BB6FE9">
        <w:rPr>
          <w:rFonts w:ascii="Times New Roman" w:eastAsia="Times New Roman" w:hAnsi="Times New Roman"/>
          <w:sz w:val="24"/>
          <w:szCs w:val="24"/>
          <w:lang w:eastAsia="hu-HU"/>
        </w:rPr>
        <w:t xml:space="preserve">község </w:t>
      </w:r>
      <w:r w:rsidR="00BB6FE9" w:rsidRPr="00676249">
        <w:rPr>
          <w:rFonts w:ascii="Times New Roman" w:eastAsia="Times New Roman" w:hAnsi="Times New Roman"/>
          <w:sz w:val="24"/>
          <w:szCs w:val="24"/>
          <w:lang w:eastAsia="hu-HU"/>
        </w:rPr>
        <w:t>adóbevételeinek</w:t>
      </w:r>
      <w:r w:rsidRPr="00676249">
        <w:rPr>
          <w:rFonts w:ascii="Times New Roman" w:eastAsia="Times New Roman" w:hAnsi="Times New Roman"/>
          <w:sz w:val="24"/>
          <w:szCs w:val="24"/>
          <w:lang w:eastAsia="hu-HU"/>
        </w:rPr>
        <w:t xml:space="preserve"> alakulását, így a</w:t>
      </w:r>
      <w:r w:rsidR="000864F4">
        <w:rPr>
          <w:rFonts w:ascii="Times New Roman" w:eastAsia="Times New Roman" w:hAnsi="Times New Roman"/>
          <w:sz w:val="24"/>
          <w:szCs w:val="24"/>
          <w:lang w:eastAsia="hu-HU"/>
        </w:rPr>
        <w:t xml:space="preserve">zok folyamatos </w:t>
      </w:r>
      <w:proofErr w:type="spellStart"/>
      <w:r w:rsidR="000864F4">
        <w:rPr>
          <w:rFonts w:ascii="Times New Roman" w:eastAsia="Times New Roman" w:hAnsi="Times New Roman"/>
          <w:sz w:val="24"/>
          <w:szCs w:val="24"/>
          <w:lang w:eastAsia="hu-HU"/>
        </w:rPr>
        <w:t>nyomonkövetése</w:t>
      </w:r>
      <w:proofErr w:type="spellEnd"/>
      <w:r w:rsidR="000864F4">
        <w:rPr>
          <w:rFonts w:ascii="Times New Roman" w:eastAsia="Times New Roman" w:hAnsi="Times New Roman"/>
          <w:sz w:val="24"/>
          <w:szCs w:val="24"/>
          <w:lang w:eastAsia="hu-HU"/>
        </w:rPr>
        <w:t xml:space="preserve"> és </w:t>
      </w:r>
      <w:bookmarkStart w:id="0" w:name="_Toc66961749"/>
      <w:bookmarkStart w:id="1" w:name="_Toc67500712"/>
      <w:r w:rsidRPr="00676249">
        <w:rPr>
          <w:rFonts w:ascii="Times New Roman" w:eastAsia="Times New Roman" w:hAnsi="Times New Roman"/>
          <w:sz w:val="24"/>
          <w:szCs w:val="24"/>
          <w:lang w:eastAsia="hu-HU"/>
        </w:rPr>
        <w:t>vált</w:t>
      </w:r>
      <w:r w:rsidR="000864F4">
        <w:rPr>
          <w:rFonts w:ascii="Times New Roman" w:eastAsia="Times New Roman" w:hAnsi="Times New Roman"/>
          <w:sz w:val="24"/>
          <w:szCs w:val="24"/>
          <w:lang w:eastAsia="hu-HU"/>
        </w:rPr>
        <w:t xml:space="preserve"> szükségessé.</w:t>
      </w:r>
    </w:p>
    <w:p w14:paraId="088E79EB" w14:textId="77777777" w:rsidR="008B3A73" w:rsidRPr="008B3A73" w:rsidRDefault="008B3A73" w:rsidP="008B3A73"/>
    <w:p w14:paraId="6BEF5CFF" w14:textId="00720F8C" w:rsidR="00676249" w:rsidRDefault="00676249" w:rsidP="00094B75">
      <w:pPr>
        <w:pStyle w:val="Cmsor3"/>
        <w:rPr>
          <w:rFonts w:ascii="Times New Roman" w:hAnsi="Times New Roman" w:cs="Times New Roman"/>
        </w:rPr>
      </w:pPr>
      <w:r w:rsidRPr="00BB6FE9">
        <w:rPr>
          <w:rFonts w:ascii="Times New Roman" w:hAnsi="Times New Roman" w:cs="Times New Roman"/>
          <w:color w:val="auto"/>
        </w:rPr>
        <w:t xml:space="preserve">Első </w:t>
      </w:r>
      <w:bookmarkEnd w:id="0"/>
      <w:bookmarkEnd w:id="1"/>
      <w:r w:rsidRPr="00BB6FE9">
        <w:rPr>
          <w:rFonts w:ascii="Times New Roman" w:hAnsi="Times New Roman" w:cs="Times New Roman"/>
          <w:color w:val="auto"/>
        </w:rPr>
        <w:t>változtatás</w:t>
      </w:r>
    </w:p>
    <w:p w14:paraId="32CB26F5" w14:textId="77777777" w:rsidR="003A58D3" w:rsidRPr="003A58D3" w:rsidRDefault="003A58D3" w:rsidP="003A58D3"/>
    <w:p w14:paraId="58CF95E0" w14:textId="77777777" w:rsidR="00676249" w:rsidRPr="00676249" w:rsidRDefault="00676249" w:rsidP="00676249">
      <w:pPr>
        <w:jc w:val="both"/>
        <w:rPr>
          <w:rFonts w:ascii="Times New Roman" w:hAnsi="Times New Roman"/>
          <w:sz w:val="24"/>
          <w:szCs w:val="24"/>
        </w:rPr>
      </w:pPr>
      <w:r w:rsidRPr="00676249">
        <w:rPr>
          <w:rFonts w:ascii="Times New Roman" w:hAnsi="Times New Roman"/>
          <w:sz w:val="24"/>
          <w:szCs w:val="24"/>
        </w:rPr>
        <w:t>Az önkormányzatot, és ezen belül a helyi adóztat</w:t>
      </w:r>
      <w:r w:rsidR="001F7EC2">
        <w:rPr>
          <w:rFonts w:ascii="Times New Roman" w:hAnsi="Times New Roman"/>
          <w:sz w:val="24"/>
          <w:szCs w:val="24"/>
        </w:rPr>
        <w:t xml:space="preserve">ást jelentősen érintő döntés a </w:t>
      </w:r>
      <w:r w:rsidRPr="00676249">
        <w:rPr>
          <w:rFonts w:ascii="Times New Roman" w:eastAsia="Times New Roman" w:hAnsi="Times New Roman"/>
          <w:sz w:val="24"/>
          <w:szCs w:val="24"/>
          <w:lang w:eastAsia="hu-HU"/>
        </w:rPr>
        <w:t>140/2020. (VI.21.) Kormányrendelet</w:t>
      </w:r>
      <w:r w:rsidR="001F7EC2">
        <w:rPr>
          <w:rFonts w:ascii="Times New Roman" w:eastAsia="Times New Roman" w:hAnsi="Times New Roman"/>
          <w:sz w:val="24"/>
          <w:szCs w:val="24"/>
          <w:lang w:eastAsia="hu-HU"/>
        </w:rPr>
        <w:t xml:space="preserve">, mely </w:t>
      </w:r>
      <w:r w:rsidRPr="00676249">
        <w:rPr>
          <w:rFonts w:ascii="Times New Roman" w:hAnsi="Times New Roman"/>
          <w:sz w:val="24"/>
          <w:szCs w:val="24"/>
        </w:rPr>
        <w:t xml:space="preserve">a vállalkozások terheinek csökkentése érdekében a helyi iparűzési adó bevallási és befizetési határidejét május 31-éről szeptember 30-ára helyezte át, továbbá a gépjármű helyben maradó részének (beszedett gépjárműadó 40%-a) átcsoportosítását írta elő a Járvány Elleni Védekezés Alapba. </w:t>
      </w:r>
    </w:p>
    <w:p w14:paraId="0C1DF9C3" w14:textId="7CA29365" w:rsidR="00094B75" w:rsidRPr="008B3A73" w:rsidRDefault="00676249" w:rsidP="008B3A73">
      <w:pPr>
        <w:jc w:val="both"/>
        <w:rPr>
          <w:rFonts w:ascii="Times New Roman" w:hAnsi="Times New Roman"/>
          <w:sz w:val="24"/>
          <w:szCs w:val="24"/>
        </w:rPr>
      </w:pPr>
      <w:r w:rsidRPr="00676249">
        <w:rPr>
          <w:rFonts w:ascii="Times New Roman" w:hAnsi="Times New Roman"/>
          <w:sz w:val="24"/>
          <w:szCs w:val="24"/>
        </w:rPr>
        <w:t xml:space="preserve">A Kormányrendelet ugyanakkor elhalasztotta az idegenforgalmi adó beszedését 2020. december 31-ig, illetve jelentős adóztatást érintő kedvezményt vezetett be a vállalkozások részére. </w:t>
      </w:r>
      <w:r w:rsidR="00C6020A">
        <w:rPr>
          <w:rFonts w:ascii="Times New Roman" w:hAnsi="Times New Roman"/>
          <w:sz w:val="24"/>
          <w:szCs w:val="24"/>
        </w:rPr>
        <w:t xml:space="preserve">Megállapítható, hogy bár lehetőség ugyanúgy nyitva volt és a pandémia indokolhatta is volna, de </w:t>
      </w:r>
      <w:r w:rsidR="00BB6FE9">
        <w:rPr>
          <w:rFonts w:ascii="Times New Roman" w:hAnsi="Times New Roman"/>
          <w:sz w:val="24"/>
          <w:szCs w:val="24"/>
        </w:rPr>
        <w:t>a részletfizetési</w:t>
      </w:r>
      <w:r w:rsidR="00C6020A">
        <w:rPr>
          <w:rFonts w:ascii="Times New Roman" w:hAnsi="Times New Roman"/>
          <w:sz w:val="24"/>
          <w:szCs w:val="24"/>
        </w:rPr>
        <w:t xml:space="preserve"> és méltányossági kérelmek száma jellemzően nem változott. </w:t>
      </w:r>
      <w:bookmarkStart w:id="2" w:name="_Toc66961750"/>
      <w:bookmarkStart w:id="3" w:name="_Toc67500713"/>
    </w:p>
    <w:p w14:paraId="75036F40" w14:textId="77777777" w:rsidR="00094B75" w:rsidRPr="00094B75" w:rsidRDefault="00094B75" w:rsidP="00094B75">
      <w:pPr>
        <w:rPr>
          <w:lang w:eastAsia="hu-HU"/>
        </w:rPr>
      </w:pPr>
    </w:p>
    <w:p w14:paraId="1BCA1B8C" w14:textId="0D8C2B44" w:rsidR="00676249" w:rsidRPr="00BB6FE9" w:rsidRDefault="00C6020A" w:rsidP="00094B75">
      <w:pPr>
        <w:pStyle w:val="Cmsor3"/>
        <w:rPr>
          <w:rFonts w:ascii="Times New Roman" w:eastAsia="Times New Roman" w:hAnsi="Times New Roman" w:cs="Times New Roman"/>
          <w:color w:val="auto"/>
          <w:lang w:eastAsia="hu-HU"/>
        </w:rPr>
      </w:pPr>
      <w:bookmarkStart w:id="4" w:name="_Toc66892845"/>
      <w:bookmarkStart w:id="5" w:name="_Toc66961751"/>
      <w:bookmarkStart w:id="6" w:name="_Toc67500714"/>
      <w:bookmarkEnd w:id="2"/>
      <w:bookmarkEnd w:id="3"/>
      <w:r w:rsidRPr="00BB6FE9">
        <w:rPr>
          <w:rFonts w:ascii="Times New Roman" w:eastAsia="Times New Roman" w:hAnsi="Times New Roman" w:cs="Times New Roman"/>
          <w:color w:val="auto"/>
          <w:lang w:eastAsia="hu-HU"/>
        </w:rPr>
        <w:t>B</w:t>
      </w:r>
      <w:r w:rsidR="00676249" w:rsidRPr="00BB6FE9">
        <w:rPr>
          <w:rFonts w:ascii="Times New Roman" w:eastAsia="Times New Roman" w:hAnsi="Times New Roman" w:cs="Times New Roman"/>
          <w:color w:val="auto"/>
          <w:lang w:eastAsia="hu-HU"/>
        </w:rPr>
        <w:t>evételek alakulása 2020. év végére</w:t>
      </w:r>
      <w:bookmarkEnd w:id="4"/>
      <w:bookmarkEnd w:id="5"/>
      <w:bookmarkEnd w:id="6"/>
    </w:p>
    <w:p w14:paraId="55647F35" w14:textId="77777777" w:rsidR="00C6020A" w:rsidRPr="00C6020A" w:rsidRDefault="00C6020A" w:rsidP="00C6020A">
      <w:pPr>
        <w:rPr>
          <w:lang w:eastAsia="hu-HU"/>
        </w:rPr>
      </w:pPr>
    </w:p>
    <w:p w14:paraId="243AED3C" w14:textId="3D18F89E" w:rsidR="00676249" w:rsidRPr="00676249" w:rsidRDefault="00C6020A" w:rsidP="004254AF">
      <w:pPr>
        <w:jc w:val="both"/>
        <w:rPr>
          <w:rFonts w:ascii="Times New Roman" w:hAnsi="Times New Roman"/>
          <w:b/>
          <w:sz w:val="20"/>
          <w:szCs w:val="20"/>
        </w:rPr>
      </w:pPr>
      <w:r>
        <w:rPr>
          <w:rFonts w:ascii="Times New Roman" w:hAnsi="Times New Roman"/>
          <w:sz w:val="24"/>
          <w:szCs w:val="24"/>
        </w:rPr>
        <w:t>Nyúl</w:t>
      </w:r>
      <w:r w:rsidR="003A58D3">
        <w:rPr>
          <w:rFonts w:ascii="Times New Roman" w:hAnsi="Times New Roman"/>
          <w:sz w:val="24"/>
          <w:szCs w:val="24"/>
        </w:rPr>
        <w:t xml:space="preserve"> községben</w:t>
      </w:r>
      <w:r w:rsidR="00676249" w:rsidRPr="00676249">
        <w:rPr>
          <w:rFonts w:ascii="Times New Roman" w:hAnsi="Times New Roman"/>
          <w:sz w:val="24"/>
          <w:szCs w:val="24"/>
        </w:rPr>
        <w:t xml:space="preserve"> </w:t>
      </w:r>
      <w:r>
        <w:rPr>
          <w:rFonts w:ascii="Times New Roman" w:hAnsi="Times New Roman"/>
          <w:sz w:val="24"/>
          <w:szCs w:val="24"/>
        </w:rPr>
        <w:t>a</w:t>
      </w:r>
      <w:r w:rsidR="00676249" w:rsidRPr="00676249">
        <w:rPr>
          <w:rFonts w:ascii="Times New Roman" w:hAnsi="Times New Roman"/>
          <w:sz w:val="24"/>
          <w:szCs w:val="24"/>
        </w:rPr>
        <w:t xml:space="preserve"> csökkenő állami támogatások, normatívák ellentételezése érdekében a helyi adók beszedésére mind nagyobb figyelem hárul az önkormányzati költségvetésben</w:t>
      </w:r>
    </w:p>
    <w:p w14:paraId="07FBC3F5" w14:textId="77777777" w:rsidR="00676249" w:rsidRPr="00676249" w:rsidRDefault="00676249" w:rsidP="00676249">
      <w:pPr>
        <w:jc w:val="both"/>
        <w:rPr>
          <w:rFonts w:ascii="Times New Roman" w:eastAsia="Times New Roman" w:hAnsi="Times New Roman"/>
          <w:sz w:val="24"/>
          <w:szCs w:val="24"/>
          <w:lang w:eastAsia="hu-HU"/>
        </w:rPr>
      </w:pPr>
      <w:r w:rsidRPr="00676249">
        <w:rPr>
          <w:rFonts w:ascii="Times New Roman" w:eastAsia="Times New Roman" w:hAnsi="Times New Roman"/>
          <w:sz w:val="24"/>
          <w:szCs w:val="24"/>
          <w:lang w:eastAsia="hu-HU"/>
        </w:rPr>
        <w:t>A helyi adók teljes egészében az önkormányzat bevételét képezik, a helyi adóból való központi részesedés törvényileg kizárt, felhasználásuk az önkormányzat költségvetésében meghatározott forrásokhoz kötött. Az adóbevételek között az Önkormányzat saját döntését tükröző helyi adóbevételek képezik a jelentősebb hányadot, maguk mögé utasítva ezáltal a központilag átengedett bevételeket.</w:t>
      </w:r>
    </w:p>
    <w:p w14:paraId="52CB84A8" w14:textId="020695BA" w:rsidR="007949C7" w:rsidRDefault="00C32D08" w:rsidP="00AA23CF">
      <w:pPr>
        <w:jc w:val="both"/>
        <w:rPr>
          <w:rFonts w:ascii="Times New Roman" w:hAnsi="Times New Roman"/>
          <w:sz w:val="24"/>
          <w:szCs w:val="24"/>
          <w:lang w:eastAsia="hu-HU"/>
        </w:rPr>
      </w:pPr>
      <w:r>
        <w:rPr>
          <w:rFonts w:ascii="Times New Roman" w:hAnsi="Times New Roman"/>
          <w:sz w:val="24"/>
          <w:szCs w:val="24"/>
          <w:lang w:eastAsia="hu-HU"/>
        </w:rPr>
        <w:lastRenderedPageBreak/>
        <w:t xml:space="preserve"> A</w:t>
      </w:r>
      <w:r w:rsidR="007949C7">
        <w:rPr>
          <w:rFonts w:ascii="Times New Roman" w:hAnsi="Times New Roman"/>
          <w:sz w:val="24"/>
          <w:szCs w:val="24"/>
          <w:lang w:eastAsia="hu-HU"/>
        </w:rPr>
        <w:t xml:space="preserve">z önkormányzat gazdálkodását, a település fejlődését megalapozó stratégiai pontok egyike a saját bevételű helyi adó, </w:t>
      </w:r>
      <w:r>
        <w:rPr>
          <w:rFonts w:ascii="Times New Roman" w:hAnsi="Times New Roman"/>
          <w:sz w:val="24"/>
          <w:szCs w:val="24"/>
          <w:lang w:eastAsia="hu-HU"/>
        </w:rPr>
        <w:t xml:space="preserve">valamint </w:t>
      </w:r>
      <w:r w:rsidR="007949C7">
        <w:rPr>
          <w:rFonts w:ascii="Times New Roman" w:hAnsi="Times New Roman"/>
          <w:sz w:val="24"/>
          <w:szCs w:val="24"/>
          <w:lang w:eastAsia="hu-HU"/>
        </w:rPr>
        <w:t>elenyésző mértékben járul hozzá a büdzséhez a központilag átengedett bevételek alacsony hányada. Lássuk tehát ezeknek a helyi adókból származó bevételek alakulását a következőkben részletezetteknek megfelelően.</w:t>
      </w:r>
    </w:p>
    <w:p w14:paraId="51AAA941" w14:textId="77777777" w:rsidR="003A58D3" w:rsidRDefault="003A58D3" w:rsidP="00AA23CF">
      <w:pPr>
        <w:jc w:val="both"/>
        <w:rPr>
          <w:rFonts w:ascii="Times New Roman" w:hAnsi="Times New Roman"/>
          <w:sz w:val="24"/>
          <w:szCs w:val="24"/>
          <w:lang w:eastAsia="hu-HU"/>
        </w:rPr>
      </w:pPr>
    </w:p>
    <w:p w14:paraId="5A241A10" w14:textId="77777777" w:rsidR="00873ACB" w:rsidRPr="00BB6FE9" w:rsidRDefault="00873ACB" w:rsidP="003A58D3">
      <w:pPr>
        <w:pStyle w:val="Cmsor2"/>
        <w:rPr>
          <w:color w:val="auto"/>
          <w:lang w:eastAsia="hu-HU"/>
        </w:rPr>
      </w:pPr>
      <w:r w:rsidRPr="00BB6FE9">
        <w:rPr>
          <w:color w:val="auto"/>
          <w:lang w:eastAsia="hu-HU"/>
        </w:rPr>
        <w:t xml:space="preserve">Bevételek alakulása </w:t>
      </w:r>
    </w:p>
    <w:p w14:paraId="3608C296" w14:textId="77777777" w:rsidR="00873ACB" w:rsidRDefault="00600A90" w:rsidP="00873ACB">
      <w:pPr>
        <w:rPr>
          <w:lang w:eastAsia="hu-HU"/>
        </w:rPr>
      </w:pPr>
      <w:r>
        <w:rPr>
          <w:lang w:eastAsia="hu-HU"/>
        </w:rPr>
        <w:t xml:space="preserve"> </w:t>
      </w:r>
    </w:p>
    <w:tbl>
      <w:tblPr>
        <w:tblW w:w="8960" w:type="dxa"/>
        <w:jc w:val="center"/>
        <w:tblCellMar>
          <w:left w:w="0" w:type="dxa"/>
          <w:right w:w="0" w:type="dxa"/>
        </w:tblCellMar>
        <w:tblLook w:val="04A0" w:firstRow="1" w:lastRow="0" w:firstColumn="1" w:lastColumn="0" w:noHBand="0" w:noVBand="1"/>
      </w:tblPr>
      <w:tblGrid>
        <w:gridCol w:w="8960"/>
      </w:tblGrid>
      <w:tr w:rsidR="00BF78DD" w14:paraId="606286AD" w14:textId="77777777" w:rsidTr="00873ACB">
        <w:trPr>
          <w:trHeight w:val="630"/>
          <w:jc w:val="center"/>
        </w:trPr>
        <w:tc>
          <w:tcPr>
            <w:tcW w:w="8960" w:type="dxa"/>
            <w:tcBorders>
              <w:top w:val="nil"/>
              <w:left w:val="nil"/>
              <w:bottom w:val="nil"/>
              <w:right w:val="nil"/>
            </w:tcBorders>
            <w:shd w:val="clear" w:color="auto" w:fill="auto"/>
            <w:tcMar>
              <w:top w:w="15" w:type="dxa"/>
              <w:left w:w="15" w:type="dxa"/>
              <w:bottom w:w="0" w:type="dxa"/>
              <w:right w:w="15" w:type="dxa"/>
            </w:tcMar>
            <w:vAlign w:val="center"/>
            <w:hideMark/>
          </w:tcPr>
          <w:p w14:paraId="091DC81E" w14:textId="330CB978" w:rsidR="00873ACB" w:rsidRDefault="004254AF" w:rsidP="00873ACB">
            <w:pPr>
              <w:jc w:val="both"/>
              <w:rPr>
                <w:rFonts w:ascii="Times New Roman" w:hAnsi="Times New Roman"/>
                <w:sz w:val="24"/>
                <w:szCs w:val="24"/>
                <w:lang w:eastAsia="hu-HU"/>
              </w:rPr>
            </w:pPr>
            <w:r>
              <w:rPr>
                <w:rFonts w:ascii="Times New Roman" w:hAnsi="Times New Roman"/>
                <w:sz w:val="24"/>
                <w:szCs w:val="24"/>
                <w:lang w:eastAsia="hu-HU"/>
              </w:rPr>
              <w:t>A község</w:t>
            </w:r>
            <w:r w:rsidR="00873ACB" w:rsidRPr="00873ACB">
              <w:rPr>
                <w:rFonts w:ascii="Times New Roman" w:hAnsi="Times New Roman"/>
                <w:sz w:val="24"/>
                <w:szCs w:val="24"/>
                <w:lang w:eastAsia="hu-HU"/>
              </w:rPr>
              <w:t xml:space="preserve"> alapvető célkitűzése, hogy a fejlődésében, fejlesztésében a törvény által ráruházott felelősséggel és a rendelkezésre álló lehetőségek hatékony kihasználásával, a </w:t>
            </w:r>
            <w:r w:rsidR="003A58D3">
              <w:rPr>
                <w:rFonts w:ascii="Times New Roman" w:hAnsi="Times New Roman"/>
                <w:sz w:val="24"/>
                <w:szCs w:val="24"/>
                <w:lang w:eastAsia="hu-HU"/>
              </w:rPr>
              <w:t>község</w:t>
            </w:r>
            <w:r w:rsidR="00873ACB" w:rsidRPr="00873ACB">
              <w:rPr>
                <w:rFonts w:ascii="Times New Roman" w:hAnsi="Times New Roman"/>
                <w:sz w:val="24"/>
                <w:szCs w:val="24"/>
                <w:lang w:eastAsia="hu-HU"/>
              </w:rPr>
              <w:t xml:space="preserve"> fejlődésében részt vevő gazdasági szereplőkkel – gazdasági társaságok, vállalatok, intézmények, civil szervezetek – partnerként </w:t>
            </w:r>
            <w:proofErr w:type="spellStart"/>
            <w:r w:rsidR="00873ACB" w:rsidRPr="00873ACB">
              <w:rPr>
                <w:rFonts w:ascii="Times New Roman" w:hAnsi="Times New Roman"/>
                <w:sz w:val="24"/>
                <w:szCs w:val="24"/>
                <w:lang w:eastAsia="hu-HU"/>
              </w:rPr>
              <w:t>együttműködjön</w:t>
            </w:r>
            <w:proofErr w:type="spellEnd"/>
            <w:r w:rsidR="00873ACB" w:rsidRPr="00873ACB">
              <w:rPr>
                <w:rFonts w:ascii="Times New Roman" w:hAnsi="Times New Roman"/>
                <w:sz w:val="24"/>
                <w:szCs w:val="24"/>
                <w:lang w:eastAsia="hu-HU"/>
              </w:rPr>
              <w:t xml:space="preserve">, az innovációban részt vegyen. A legjelentősebb célja, hogy az itt élő emberek jól érezzék magukat lakóhelyükön, életkörülményeik megfeleljenek az igényeiknek, ehhez elérhető közszolgáltatásokat, környezetet, infrastruktúrát várnak el. A célok eléréséhez saját forrásokra van szükség, melynek alapjait a helyi adórendszer megfelelő kialakítása támasztja alá. Ahhoz, hogy a fejlődés mindig biztosított legyen, egyre nagyobb szerepet kell osztani az adóbevételek számára. </w:t>
            </w:r>
          </w:p>
          <w:p w14:paraId="0A340AD0" w14:textId="77777777" w:rsidR="003A58D3" w:rsidRPr="00873ACB" w:rsidRDefault="003A58D3" w:rsidP="00873ACB">
            <w:pPr>
              <w:jc w:val="both"/>
              <w:rPr>
                <w:rFonts w:ascii="Times New Roman" w:hAnsi="Times New Roman"/>
                <w:sz w:val="24"/>
                <w:szCs w:val="24"/>
                <w:lang w:eastAsia="hu-HU"/>
              </w:rPr>
            </w:pPr>
          </w:p>
          <w:p w14:paraId="786FF54B" w14:textId="54266636" w:rsidR="008B3A73" w:rsidRDefault="00873ACB" w:rsidP="00873ACB">
            <w:pPr>
              <w:jc w:val="both"/>
              <w:rPr>
                <w:rFonts w:ascii="Times New Roman" w:hAnsi="Times New Roman"/>
                <w:sz w:val="24"/>
                <w:szCs w:val="24"/>
                <w:lang w:eastAsia="hu-HU"/>
              </w:rPr>
            </w:pPr>
            <w:r w:rsidRPr="00873ACB">
              <w:rPr>
                <w:rFonts w:ascii="Times New Roman" w:hAnsi="Times New Roman"/>
                <w:sz w:val="24"/>
                <w:szCs w:val="24"/>
                <w:lang w:eastAsia="hu-HU"/>
              </w:rPr>
              <w:t>Az egész világot érintő koronavírus-járvány, az önkormányzat helyi adóbevételét érintő gazdasági akcióvédelmi programok azonban megváltoztatták a</w:t>
            </w:r>
            <w:r w:rsidR="00E500C3">
              <w:rPr>
                <w:rFonts w:ascii="Times New Roman" w:hAnsi="Times New Roman"/>
                <w:sz w:val="24"/>
                <w:szCs w:val="24"/>
                <w:lang w:eastAsia="hu-HU"/>
              </w:rPr>
              <w:t xml:space="preserve">z </w:t>
            </w:r>
            <w:r w:rsidRPr="00873ACB">
              <w:rPr>
                <w:rFonts w:ascii="Times New Roman" w:hAnsi="Times New Roman"/>
                <w:sz w:val="24"/>
                <w:szCs w:val="24"/>
                <w:lang w:eastAsia="hu-HU"/>
              </w:rPr>
              <w:t>eddig stabil</w:t>
            </w:r>
            <w:r w:rsidR="00E500C3">
              <w:rPr>
                <w:rFonts w:ascii="Times New Roman" w:hAnsi="Times New Roman"/>
                <w:sz w:val="24"/>
                <w:szCs w:val="24"/>
                <w:lang w:eastAsia="hu-HU"/>
              </w:rPr>
              <w:t xml:space="preserve"> </w:t>
            </w:r>
            <w:r w:rsidRPr="00873ACB">
              <w:rPr>
                <w:rFonts w:ascii="Times New Roman" w:hAnsi="Times New Roman"/>
                <w:sz w:val="24"/>
                <w:szCs w:val="24"/>
                <w:lang w:eastAsia="hu-HU"/>
              </w:rPr>
              <w:t>adóbevételének tendenciáját. Az alábbi táblázatban a 2020. évben befolyt adóbevételek szerepelnek, melyeket a szűkös gazdasági helyzetben sikerült realizáln</w:t>
            </w:r>
            <w:r w:rsidR="008B3A73">
              <w:rPr>
                <w:rFonts w:ascii="Times New Roman" w:hAnsi="Times New Roman"/>
                <w:sz w:val="24"/>
                <w:szCs w:val="24"/>
                <w:lang w:eastAsia="hu-HU"/>
              </w:rPr>
              <w:t>i.</w:t>
            </w:r>
          </w:p>
          <w:p w14:paraId="102143C0" w14:textId="77777777" w:rsidR="008B3A73" w:rsidRPr="00873ACB" w:rsidRDefault="008B3A73" w:rsidP="00873ACB">
            <w:pPr>
              <w:jc w:val="both"/>
              <w:rPr>
                <w:rFonts w:ascii="Times New Roman" w:hAnsi="Times New Roman"/>
                <w:sz w:val="24"/>
                <w:szCs w:val="24"/>
                <w:lang w:eastAsia="hu-HU"/>
              </w:rPr>
            </w:pPr>
          </w:p>
          <w:p w14:paraId="4745AA6E" w14:textId="77777777" w:rsidR="00873ACB" w:rsidRPr="00656EE3" w:rsidRDefault="00873ACB" w:rsidP="00873ACB">
            <w:pPr>
              <w:jc w:val="both"/>
              <w:rPr>
                <w:sz w:val="24"/>
                <w:szCs w:val="24"/>
                <w:lang w:eastAsia="hu-HU"/>
              </w:rPr>
            </w:pPr>
          </w:p>
          <w:p w14:paraId="56A82177" w14:textId="1A1D3D9D" w:rsidR="00BF78DD" w:rsidRDefault="006E6CFC">
            <w:pPr>
              <w:jc w:val="center"/>
              <w:rPr>
                <w:b/>
                <w:bCs/>
              </w:rPr>
            </w:pPr>
            <w:r>
              <w:rPr>
                <w:b/>
                <w:bCs/>
              </w:rPr>
              <w:t>Adóbevételek alakulása 20</w:t>
            </w:r>
            <w:r w:rsidR="00AA23CF">
              <w:rPr>
                <w:b/>
                <w:bCs/>
              </w:rPr>
              <w:t>20</w:t>
            </w:r>
            <w:r w:rsidR="00BF78DD">
              <w:rPr>
                <w:b/>
                <w:bCs/>
              </w:rPr>
              <w:t xml:space="preserve"> év </w:t>
            </w:r>
          </w:p>
          <w:p w14:paraId="6ED17651" w14:textId="5235A8F3" w:rsidR="007727C1" w:rsidRPr="007727C1" w:rsidRDefault="007727C1">
            <w:pPr>
              <w:jc w:val="center"/>
              <w:rPr>
                <w:b/>
                <w:bCs/>
                <w:sz w:val="16"/>
                <w:szCs w:val="16"/>
              </w:rPr>
            </w:pPr>
            <w:r w:rsidRPr="007727C1">
              <w:rPr>
                <w:b/>
                <w:bCs/>
                <w:sz w:val="16"/>
                <w:szCs w:val="16"/>
              </w:rPr>
              <w:t>az adatok Ft-ban értendők</w:t>
            </w:r>
          </w:p>
          <w:p w14:paraId="4DCFF1BA" w14:textId="77777777" w:rsidR="00AA23CF" w:rsidRDefault="00AA23CF" w:rsidP="006E6CFC">
            <w:pPr>
              <w:jc w:val="center"/>
              <w:rPr>
                <w:rFonts w:ascii="Times New Roman" w:hAnsi="Times New Roman"/>
                <w:b/>
                <w:bCs/>
                <w:sz w:val="16"/>
                <w:szCs w:val="16"/>
              </w:rPr>
            </w:pPr>
          </w:p>
          <w:tbl>
            <w:tblPr>
              <w:tblW w:w="8412" w:type="dxa"/>
              <w:jc w:val="center"/>
              <w:tblCellMar>
                <w:left w:w="70" w:type="dxa"/>
                <w:right w:w="70" w:type="dxa"/>
              </w:tblCellMar>
              <w:tblLook w:val="04A0" w:firstRow="1" w:lastRow="0" w:firstColumn="1" w:lastColumn="0" w:noHBand="0" w:noVBand="1"/>
            </w:tblPr>
            <w:tblGrid>
              <w:gridCol w:w="1540"/>
              <w:gridCol w:w="1910"/>
              <w:gridCol w:w="1560"/>
              <w:gridCol w:w="1945"/>
              <w:gridCol w:w="1457"/>
            </w:tblGrid>
            <w:tr w:rsidR="00AA23CF" w:rsidRPr="00AA23CF" w14:paraId="3E5240B9" w14:textId="77777777" w:rsidTr="00463564">
              <w:trPr>
                <w:trHeight w:val="255"/>
                <w:jc w:val="center"/>
              </w:trPr>
              <w:tc>
                <w:tcPr>
                  <w:tcW w:w="1540" w:type="dxa"/>
                  <w:vMerge w:val="restart"/>
                  <w:tcBorders>
                    <w:top w:val="single" w:sz="4" w:space="0" w:color="auto"/>
                    <w:left w:val="single" w:sz="4" w:space="0" w:color="auto"/>
                    <w:bottom w:val="single" w:sz="4" w:space="0" w:color="000000"/>
                    <w:right w:val="single" w:sz="4" w:space="0" w:color="auto"/>
                  </w:tcBorders>
                  <w:shd w:val="clear" w:color="000000" w:fill="DCF3FE"/>
                  <w:vAlign w:val="center"/>
                  <w:hideMark/>
                </w:tcPr>
                <w:p w14:paraId="3D7944C3" w14:textId="77777777" w:rsidR="00AA23CF" w:rsidRPr="00AA23CF" w:rsidRDefault="00AA23CF" w:rsidP="00AA23CF">
                  <w:pPr>
                    <w:jc w:val="center"/>
                    <w:rPr>
                      <w:rFonts w:ascii="Times New Roman" w:eastAsia="Times New Roman" w:hAnsi="Times New Roman"/>
                      <w:b/>
                      <w:bCs/>
                      <w:color w:val="000000"/>
                      <w:sz w:val="14"/>
                      <w:szCs w:val="14"/>
                      <w:lang w:eastAsia="hu-HU"/>
                    </w:rPr>
                  </w:pPr>
                  <w:r w:rsidRPr="00AA23CF">
                    <w:rPr>
                      <w:rFonts w:ascii="Times New Roman" w:eastAsia="Times New Roman" w:hAnsi="Times New Roman"/>
                      <w:b/>
                      <w:bCs/>
                      <w:color w:val="000000"/>
                      <w:sz w:val="14"/>
                      <w:szCs w:val="14"/>
                      <w:lang w:eastAsia="hu-HU"/>
                    </w:rPr>
                    <w:t>Adónem</w:t>
                  </w:r>
                </w:p>
              </w:tc>
              <w:tc>
                <w:tcPr>
                  <w:tcW w:w="6872" w:type="dxa"/>
                  <w:gridSpan w:val="4"/>
                  <w:tcBorders>
                    <w:top w:val="single" w:sz="4" w:space="0" w:color="auto"/>
                    <w:left w:val="nil"/>
                    <w:bottom w:val="single" w:sz="4" w:space="0" w:color="auto"/>
                    <w:right w:val="single" w:sz="4" w:space="0" w:color="auto"/>
                  </w:tcBorders>
                  <w:shd w:val="clear" w:color="000000" w:fill="DCF3FE"/>
                  <w:noWrap/>
                  <w:vAlign w:val="center"/>
                  <w:hideMark/>
                </w:tcPr>
                <w:p w14:paraId="704FBEA9" w14:textId="77777777" w:rsidR="00AA23CF" w:rsidRPr="00AA23CF" w:rsidRDefault="00AA23CF" w:rsidP="00AA23CF">
                  <w:pPr>
                    <w:jc w:val="cente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2020</w:t>
                  </w:r>
                </w:p>
              </w:tc>
            </w:tr>
            <w:tr w:rsidR="00AA23CF" w:rsidRPr="00AA23CF" w14:paraId="533CC838" w14:textId="77777777" w:rsidTr="00463564">
              <w:trPr>
                <w:trHeight w:val="630"/>
                <w:jc w:val="center"/>
              </w:trPr>
              <w:tc>
                <w:tcPr>
                  <w:tcW w:w="1540" w:type="dxa"/>
                  <w:vMerge/>
                  <w:tcBorders>
                    <w:top w:val="single" w:sz="4" w:space="0" w:color="auto"/>
                    <w:left w:val="single" w:sz="4" w:space="0" w:color="auto"/>
                    <w:bottom w:val="single" w:sz="4" w:space="0" w:color="000000"/>
                    <w:right w:val="single" w:sz="4" w:space="0" w:color="auto"/>
                  </w:tcBorders>
                  <w:vAlign w:val="center"/>
                  <w:hideMark/>
                </w:tcPr>
                <w:p w14:paraId="7489BF43" w14:textId="77777777" w:rsidR="00AA23CF" w:rsidRPr="00AA23CF" w:rsidRDefault="00AA23CF" w:rsidP="00AA23CF">
                  <w:pPr>
                    <w:rPr>
                      <w:rFonts w:ascii="Times New Roman" w:eastAsia="Times New Roman" w:hAnsi="Times New Roman"/>
                      <w:b/>
                      <w:bCs/>
                      <w:color w:val="000000"/>
                      <w:sz w:val="14"/>
                      <w:szCs w:val="14"/>
                      <w:lang w:eastAsia="hu-HU"/>
                    </w:rPr>
                  </w:pPr>
                </w:p>
              </w:tc>
              <w:tc>
                <w:tcPr>
                  <w:tcW w:w="1910" w:type="dxa"/>
                  <w:tcBorders>
                    <w:top w:val="nil"/>
                    <w:left w:val="nil"/>
                    <w:bottom w:val="single" w:sz="4" w:space="0" w:color="auto"/>
                    <w:right w:val="single" w:sz="4" w:space="0" w:color="auto"/>
                  </w:tcBorders>
                  <w:shd w:val="clear" w:color="000000" w:fill="DCF3FE"/>
                  <w:vAlign w:val="center"/>
                  <w:hideMark/>
                </w:tcPr>
                <w:p w14:paraId="637B672C" w14:textId="77777777" w:rsidR="00AA23CF" w:rsidRPr="00AA23CF" w:rsidRDefault="00AA23CF" w:rsidP="00AA23CF">
                  <w:pPr>
                    <w:jc w:val="cente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 xml:space="preserve"> előirányzat </w:t>
                  </w:r>
                </w:p>
              </w:tc>
              <w:tc>
                <w:tcPr>
                  <w:tcW w:w="1560" w:type="dxa"/>
                  <w:tcBorders>
                    <w:top w:val="nil"/>
                    <w:left w:val="nil"/>
                    <w:bottom w:val="single" w:sz="4" w:space="0" w:color="auto"/>
                    <w:right w:val="single" w:sz="4" w:space="0" w:color="auto"/>
                  </w:tcBorders>
                  <w:shd w:val="clear" w:color="000000" w:fill="DCF3FE"/>
                  <w:vAlign w:val="center"/>
                  <w:hideMark/>
                </w:tcPr>
                <w:p w14:paraId="1031EA50" w14:textId="77777777" w:rsidR="00AA23CF" w:rsidRPr="00AA23CF" w:rsidRDefault="00AA23CF" w:rsidP="00AA23CF">
                  <w:pPr>
                    <w:jc w:val="center"/>
                    <w:rPr>
                      <w:rFonts w:ascii="Times New Roman" w:eastAsia="Times New Roman" w:hAnsi="Times New Roman"/>
                      <w:b/>
                      <w:bCs/>
                      <w:color w:val="000000"/>
                      <w:sz w:val="14"/>
                      <w:szCs w:val="14"/>
                      <w:lang w:eastAsia="hu-HU"/>
                    </w:rPr>
                  </w:pPr>
                  <w:r w:rsidRPr="00AA23CF">
                    <w:rPr>
                      <w:rFonts w:ascii="Times New Roman" w:eastAsia="Times New Roman" w:hAnsi="Times New Roman"/>
                      <w:b/>
                      <w:bCs/>
                      <w:color w:val="000000"/>
                      <w:sz w:val="14"/>
                      <w:szCs w:val="14"/>
                      <w:lang w:eastAsia="hu-HU"/>
                    </w:rPr>
                    <w:t xml:space="preserve"> teljesített </w:t>
                  </w:r>
                </w:p>
              </w:tc>
              <w:tc>
                <w:tcPr>
                  <w:tcW w:w="1945" w:type="dxa"/>
                  <w:tcBorders>
                    <w:top w:val="nil"/>
                    <w:left w:val="nil"/>
                    <w:bottom w:val="single" w:sz="4" w:space="0" w:color="auto"/>
                    <w:right w:val="single" w:sz="4" w:space="0" w:color="auto"/>
                  </w:tcBorders>
                  <w:shd w:val="clear" w:color="000000" w:fill="DCF3FE"/>
                  <w:vAlign w:val="center"/>
                  <w:hideMark/>
                </w:tcPr>
                <w:p w14:paraId="65F6C50B" w14:textId="77777777" w:rsidR="00AA23CF" w:rsidRPr="00AA23CF" w:rsidRDefault="00AA23CF" w:rsidP="00AA23CF">
                  <w:pPr>
                    <w:jc w:val="center"/>
                    <w:rPr>
                      <w:rFonts w:ascii="Times New Roman" w:eastAsia="Times New Roman" w:hAnsi="Times New Roman"/>
                      <w:b/>
                      <w:bCs/>
                      <w:color w:val="000000"/>
                      <w:sz w:val="14"/>
                      <w:szCs w:val="14"/>
                      <w:lang w:eastAsia="hu-HU"/>
                    </w:rPr>
                  </w:pPr>
                  <w:r w:rsidRPr="00AA23CF">
                    <w:rPr>
                      <w:rFonts w:ascii="Times New Roman" w:eastAsia="Times New Roman" w:hAnsi="Times New Roman"/>
                      <w:b/>
                      <w:bCs/>
                      <w:color w:val="000000"/>
                      <w:sz w:val="14"/>
                      <w:szCs w:val="14"/>
                      <w:lang w:eastAsia="hu-HU"/>
                    </w:rPr>
                    <w:t xml:space="preserve"> teljesítés e Ft előirányzathoz képest </w:t>
                  </w:r>
                </w:p>
              </w:tc>
              <w:tc>
                <w:tcPr>
                  <w:tcW w:w="1457" w:type="dxa"/>
                  <w:tcBorders>
                    <w:top w:val="nil"/>
                    <w:left w:val="nil"/>
                    <w:bottom w:val="single" w:sz="4" w:space="0" w:color="auto"/>
                    <w:right w:val="single" w:sz="4" w:space="0" w:color="auto"/>
                  </w:tcBorders>
                  <w:shd w:val="clear" w:color="000000" w:fill="DCF3FE"/>
                  <w:vAlign w:val="center"/>
                  <w:hideMark/>
                </w:tcPr>
                <w:p w14:paraId="46F229DC" w14:textId="77777777" w:rsidR="00AA23CF" w:rsidRPr="00AA23CF" w:rsidRDefault="00AA23CF" w:rsidP="00AA23CF">
                  <w:pPr>
                    <w:jc w:val="center"/>
                    <w:rPr>
                      <w:rFonts w:ascii="Times New Roman" w:eastAsia="Times New Roman" w:hAnsi="Times New Roman"/>
                      <w:b/>
                      <w:bCs/>
                      <w:i/>
                      <w:iCs/>
                      <w:sz w:val="14"/>
                      <w:szCs w:val="14"/>
                      <w:lang w:eastAsia="hu-HU"/>
                    </w:rPr>
                  </w:pPr>
                  <w:r w:rsidRPr="00AA23CF">
                    <w:rPr>
                      <w:rFonts w:ascii="Times New Roman" w:eastAsia="Times New Roman" w:hAnsi="Times New Roman"/>
                      <w:b/>
                      <w:bCs/>
                      <w:i/>
                      <w:iCs/>
                      <w:sz w:val="14"/>
                      <w:szCs w:val="14"/>
                      <w:lang w:eastAsia="hu-HU"/>
                    </w:rPr>
                    <w:t xml:space="preserve"> Teljesítés % </w:t>
                  </w:r>
                </w:p>
              </w:tc>
            </w:tr>
            <w:tr w:rsidR="00AA23CF" w:rsidRPr="00AA23CF" w14:paraId="7E713546"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5DD9EA61"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Építményadó</w:t>
                  </w:r>
                </w:p>
              </w:tc>
              <w:tc>
                <w:tcPr>
                  <w:tcW w:w="1910" w:type="dxa"/>
                  <w:tcBorders>
                    <w:top w:val="nil"/>
                    <w:left w:val="nil"/>
                    <w:bottom w:val="single" w:sz="4" w:space="0" w:color="auto"/>
                    <w:right w:val="single" w:sz="4" w:space="0" w:color="auto"/>
                  </w:tcBorders>
                  <w:shd w:val="clear" w:color="auto" w:fill="auto"/>
                  <w:noWrap/>
                  <w:vAlign w:val="bottom"/>
                  <w:hideMark/>
                </w:tcPr>
                <w:p w14:paraId="0C016382" w14:textId="06D64D15"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E500C3">
                    <w:rPr>
                      <w:rFonts w:ascii="Times New Roman" w:eastAsia="Times New Roman" w:hAnsi="Times New Roman"/>
                      <w:sz w:val="14"/>
                      <w:szCs w:val="14"/>
                      <w:lang w:eastAsia="hu-HU"/>
                    </w:rPr>
                    <w:t>6 000</w:t>
                  </w:r>
                  <w:r w:rsidRPr="00AA23CF">
                    <w:rPr>
                      <w:rFonts w:ascii="Times New Roman" w:eastAsia="Times New Roman" w:hAnsi="Times New Roman"/>
                      <w:sz w:val="14"/>
                      <w:szCs w:val="14"/>
                      <w:lang w:eastAsia="hu-HU"/>
                    </w:rPr>
                    <w:t xml:space="preserve"> 000    </w:t>
                  </w:r>
                </w:p>
              </w:tc>
              <w:tc>
                <w:tcPr>
                  <w:tcW w:w="1560" w:type="dxa"/>
                  <w:tcBorders>
                    <w:top w:val="nil"/>
                    <w:left w:val="nil"/>
                    <w:bottom w:val="single" w:sz="4" w:space="0" w:color="auto"/>
                    <w:right w:val="single" w:sz="4" w:space="0" w:color="auto"/>
                  </w:tcBorders>
                  <w:shd w:val="clear" w:color="auto" w:fill="auto"/>
                  <w:noWrap/>
                  <w:vAlign w:val="bottom"/>
                  <w:hideMark/>
                </w:tcPr>
                <w:p w14:paraId="2C5324A8" w14:textId="49D96512"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E500C3">
                    <w:rPr>
                      <w:rFonts w:ascii="Times New Roman" w:eastAsia="Times New Roman" w:hAnsi="Times New Roman"/>
                      <w:sz w:val="14"/>
                      <w:szCs w:val="14"/>
                      <w:lang w:eastAsia="hu-HU"/>
                    </w:rPr>
                    <w:t>5 846 207</w:t>
                  </w:r>
                  <w:r w:rsidRPr="00AA23CF">
                    <w:rPr>
                      <w:rFonts w:ascii="Times New Roman" w:eastAsia="Times New Roman" w:hAnsi="Times New Roman"/>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0CB1FDE0" w14:textId="3769D4AC"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E500C3">
                    <w:rPr>
                      <w:rFonts w:ascii="Times New Roman" w:eastAsia="Times New Roman" w:hAnsi="Times New Roman"/>
                      <w:sz w:val="14"/>
                      <w:szCs w:val="14"/>
                      <w:lang w:eastAsia="hu-HU"/>
                    </w:rPr>
                    <w:t>-</w:t>
                  </w:r>
                  <w:r w:rsidRPr="00AA23CF">
                    <w:rPr>
                      <w:rFonts w:ascii="Times New Roman" w:eastAsia="Times New Roman" w:hAnsi="Times New Roman"/>
                      <w:sz w:val="14"/>
                      <w:szCs w:val="14"/>
                      <w:lang w:eastAsia="hu-HU"/>
                    </w:rPr>
                    <w:t xml:space="preserve">   </w:t>
                  </w:r>
                  <w:r w:rsidR="00E500C3">
                    <w:rPr>
                      <w:rFonts w:ascii="Times New Roman" w:eastAsia="Times New Roman" w:hAnsi="Times New Roman"/>
                      <w:sz w:val="14"/>
                      <w:szCs w:val="14"/>
                      <w:lang w:eastAsia="hu-HU"/>
                    </w:rPr>
                    <w:t>153793</w:t>
                  </w:r>
                </w:p>
              </w:tc>
              <w:tc>
                <w:tcPr>
                  <w:tcW w:w="1457" w:type="dxa"/>
                  <w:tcBorders>
                    <w:top w:val="nil"/>
                    <w:left w:val="nil"/>
                    <w:bottom w:val="single" w:sz="4" w:space="0" w:color="auto"/>
                    <w:right w:val="single" w:sz="4" w:space="0" w:color="auto"/>
                  </w:tcBorders>
                  <w:shd w:val="clear" w:color="auto" w:fill="auto"/>
                  <w:noWrap/>
                  <w:vAlign w:val="bottom"/>
                  <w:hideMark/>
                </w:tcPr>
                <w:p w14:paraId="236540BC" w14:textId="0887D0FB" w:rsidR="00AA23CF" w:rsidRPr="00AA23CF" w:rsidRDefault="00E500C3"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97</w:t>
                  </w:r>
                  <w:r w:rsidR="005F41AB">
                    <w:rPr>
                      <w:rFonts w:ascii="Times New Roman" w:eastAsia="Times New Roman" w:hAnsi="Times New Roman"/>
                      <w:i/>
                      <w:iCs/>
                      <w:sz w:val="14"/>
                      <w:szCs w:val="14"/>
                      <w:lang w:eastAsia="hu-HU"/>
                    </w:rPr>
                    <w:t xml:space="preserve"> </w:t>
                  </w:r>
                  <w:r w:rsidR="00AA23CF" w:rsidRPr="00AA23CF">
                    <w:rPr>
                      <w:rFonts w:ascii="Times New Roman" w:eastAsia="Times New Roman" w:hAnsi="Times New Roman"/>
                      <w:i/>
                      <w:iCs/>
                      <w:sz w:val="14"/>
                      <w:szCs w:val="14"/>
                      <w:lang w:eastAsia="hu-HU"/>
                    </w:rPr>
                    <w:t>%</w:t>
                  </w:r>
                </w:p>
              </w:tc>
            </w:tr>
            <w:tr w:rsidR="00AA23CF" w:rsidRPr="00AA23CF" w14:paraId="3B724648"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5815BB7C"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Idegenforgalmi adó</w:t>
                  </w:r>
                </w:p>
              </w:tc>
              <w:tc>
                <w:tcPr>
                  <w:tcW w:w="1910" w:type="dxa"/>
                  <w:tcBorders>
                    <w:top w:val="nil"/>
                    <w:left w:val="nil"/>
                    <w:bottom w:val="single" w:sz="4" w:space="0" w:color="auto"/>
                    <w:right w:val="single" w:sz="4" w:space="0" w:color="auto"/>
                  </w:tcBorders>
                  <w:shd w:val="clear" w:color="auto" w:fill="auto"/>
                  <w:noWrap/>
                  <w:vAlign w:val="bottom"/>
                  <w:hideMark/>
                </w:tcPr>
                <w:p w14:paraId="54C66407" w14:textId="5DA6E7E4" w:rsidR="00AA23CF" w:rsidRPr="005F41AB" w:rsidRDefault="007727C1" w:rsidP="007727C1">
                  <w:pPr>
                    <w:pStyle w:val="Listaszerbekezds"/>
                    <w:ind w:left="1350"/>
                    <w:rPr>
                      <w:rFonts w:ascii="Times New Roman" w:eastAsia="Times New Roman" w:hAnsi="Times New Roman"/>
                      <w:sz w:val="14"/>
                      <w:szCs w:val="14"/>
                      <w:lang w:eastAsia="hu-HU"/>
                    </w:rPr>
                  </w:pPr>
                  <w:r>
                    <w:rPr>
                      <w:rFonts w:ascii="Times New Roman" w:eastAsia="Times New Roman" w:hAnsi="Times New Roman"/>
                      <w:sz w:val="14"/>
                      <w:szCs w:val="14"/>
                      <w:lang w:eastAsia="hu-HU"/>
                    </w:rPr>
                    <w:t>700</w:t>
                  </w:r>
                  <w:r w:rsidR="00AA23CF" w:rsidRPr="005F41AB">
                    <w:rPr>
                      <w:rFonts w:ascii="Times New Roman" w:eastAsia="Times New Roman" w:hAnsi="Times New Roman"/>
                      <w:sz w:val="14"/>
                      <w:szCs w:val="14"/>
                      <w:lang w:eastAsia="hu-HU"/>
                    </w:rPr>
                    <w:t xml:space="preserve">000    </w:t>
                  </w:r>
                </w:p>
              </w:tc>
              <w:tc>
                <w:tcPr>
                  <w:tcW w:w="1560" w:type="dxa"/>
                  <w:tcBorders>
                    <w:top w:val="nil"/>
                    <w:left w:val="nil"/>
                    <w:bottom w:val="single" w:sz="4" w:space="0" w:color="auto"/>
                    <w:right w:val="single" w:sz="4" w:space="0" w:color="auto"/>
                  </w:tcBorders>
                  <w:shd w:val="clear" w:color="auto" w:fill="auto"/>
                  <w:noWrap/>
                  <w:vAlign w:val="bottom"/>
                  <w:hideMark/>
                </w:tcPr>
                <w:p w14:paraId="59F85488" w14:textId="3BBA3E8B" w:rsidR="00AA23CF" w:rsidRPr="005F41AB" w:rsidRDefault="005F41AB" w:rsidP="005F41AB">
                  <w:pPr>
                    <w:pStyle w:val="Listaszerbekezds"/>
                    <w:jc w:val="center"/>
                    <w:rPr>
                      <w:rFonts w:ascii="Times New Roman" w:eastAsia="Times New Roman" w:hAnsi="Times New Roman"/>
                      <w:sz w:val="14"/>
                      <w:szCs w:val="14"/>
                      <w:lang w:eastAsia="hu-HU"/>
                    </w:rPr>
                  </w:pPr>
                  <w:r>
                    <w:rPr>
                      <w:rFonts w:ascii="Times New Roman" w:eastAsia="Times New Roman" w:hAnsi="Times New Roman"/>
                      <w:sz w:val="14"/>
                      <w:szCs w:val="14"/>
                      <w:lang w:eastAsia="hu-HU"/>
                    </w:rPr>
                    <w:t xml:space="preserve">       25840</w:t>
                  </w:r>
                  <w:r w:rsidRPr="005F41AB">
                    <w:rPr>
                      <w:rFonts w:ascii="Times New Roman" w:eastAsia="Times New Roman" w:hAnsi="Times New Roman"/>
                      <w:sz w:val="14"/>
                      <w:szCs w:val="14"/>
                      <w:lang w:eastAsia="hu-HU"/>
                    </w:rPr>
                    <w:t>0</w:t>
                  </w:r>
                  <w:r w:rsidR="00AA23CF" w:rsidRPr="005F41AB">
                    <w:rPr>
                      <w:rFonts w:ascii="Times New Roman" w:eastAsia="Times New Roman" w:hAnsi="Times New Roman"/>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26CFC624" w14:textId="7D4439C3" w:rsidR="00AA23CF" w:rsidRPr="005F41AB" w:rsidRDefault="005F41AB" w:rsidP="005F41AB">
                  <w:pPr>
                    <w:pStyle w:val="Listaszerbekezds"/>
                    <w:ind w:left="810"/>
                    <w:jc w:val="center"/>
                    <w:rPr>
                      <w:rFonts w:ascii="Times New Roman" w:eastAsia="Times New Roman" w:hAnsi="Times New Roman"/>
                      <w:sz w:val="14"/>
                      <w:szCs w:val="14"/>
                      <w:lang w:eastAsia="hu-HU"/>
                    </w:rPr>
                  </w:pPr>
                  <w:r>
                    <w:rPr>
                      <w:rFonts w:ascii="Times New Roman" w:eastAsia="Times New Roman" w:hAnsi="Times New Roman"/>
                      <w:sz w:val="14"/>
                      <w:szCs w:val="14"/>
                      <w:lang w:eastAsia="hu-HU"/>
                    </w:rPr>
                    <w:t xml:space="preserve">     </w:t>
                  </w:r>
                  <w:r w:rsidR="00463564">
                    <w:rPr>
                      <w:rFonts w:ascii="Times New Roman" w:eastAsia="Times New Roman" w:hAnsi="Times New Roman"/>
                      <w:sz w:val="14"/>
                      <w:szCs w:val="14"/>
                      <w:lang w:eastAsia="hu-HU"/>
                    </w:rPr>
                    <w:t xml:space="preserve">      </w:t>
                  </w:r>
                  <w:r>
                    <w:rPr>
                      <w:rFonts w:ascii="Times New Roman" w:eastAsia="Times New Roman" w:hAnsi="Times New Roman"/>
                      <w:sz w:val="14"/>
                      <w:szCs w:val="14"/>
                      <w:lang w:eastAsia="hu-HU"/>
                    </w:rPr>
                    <w:t xml:space="preserve"> - </w:t>
                  </w:r>
                  <w:r w:rsidRPr="005F41AB">
                    <w:rPr>
                      <w:rFonts w:ascii="Times New Roman" w:eastAsia="Times New Roman" w:hAnsi="Times New Roman"/>
                      <w:sz w:val="14"/>
                      <w:szCs w:val="14"/>
                      <w:lang w:eastAsia="hu-HU"/>
                    </w:rPr>
                    <w:t>441 600</w:t>
                  </w:r>
                  <w:r w:rsidR="00AA23CF" w:rsidRPr="005F41AB">
                    <w:rPr>
                      <w:rFonts w:ascii="Times New Roman" w:eastAsia="Times New Roman" w:hAnsi="Times New Roman"/>
                      <w:sz w:val="14"/>
                      <w:szCs w:val="14"/>
                      <w:lang w:eastAsia="hu-HU"/>
                    </w:rPr>
                    <w:t xml:space="preserve">    </w:t>
                  </w:r>
                </w:p>
              </w:tc>
              <w:tc>
                <w:tcPr>
                  <w:tcW w:w="1457" w:type="dxa"/>
                  <w:tcBorders>
                    <w:top w:val="nil"/>
                    <w:left w:val="nil"/>
                    <w:bottom w:val="single" w:sz="4" w:space="0" w:color="auto"/>
                    <w:right w:val="single" w:sz="4" w:space="0" w:color="auto"/>
                  </w:tcBorders>
                  <w:shd w:val="clear" w:color="auto" w:fill="auto"/>
                  <w:noWrap/>
                  <w:vAlign w:val="bottom"/>
                  <w:hideMark/>
                </w:tcPr>
                <w:p w14:paraId="0BF119AA" w14:textId="3CBE621A" w:rsidR="00AA23CF" w:rsidRPr="00AA23CF" w:rsidRDefault="005F41AB"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 xml:space="preserve">63 </w:t>
                  </w:r>
                  <w:r w:rsidR="00AA23CF" w:rsidRPr="00AA23CF">
                    <w:rPr>
                      <w:rFonts w:ascii="Times New Roman" w:eastAsia="Times New Roman" w:hAnsi="Times New Roman"/>
                      <w:i/>
                      <w:iCs/>
                      <w:sz w:val="14"/>
                      <w:szCs w:val="14"/>
                      <w:lang w:eastAsia="hu-HU"/>
                    </w:rPr>
                    <w:t>%</w:t>
                  </w:r>
                </w:p>
              </w:tc>
            </w:tr>
            <w:tr w:rsidR="00AA23CF" w:rsidRPr="00AA23CF" w14:paraId="7F58C871"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29FF027D"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Iparűzési adó</w:t>
                  </w:r>
                </w:p>
              </w:tc>
              <w:tc>
                <w:tcPr>
                  <w:tcW w:w="1910" w:type="dxa"/>
                  <w:tcBorders>
                    <w:top w:val="nil"/>
                    <w:left w:val="nil"/>
                    <w:bottom w:val="single" w:sz="4" w:space="0" w:color="auto"/>
                    <w:right w:val="single" w:sz="4" w:space="0" w:color="auto"/>
                  </w:tcBorders>
                  <w:shd w:val="clear" w:color="auto" w:fill="auto"/>
                  <w:noWrap/>
                  <w:vAlign w:val="bottom"/>
                  <w:hideMark/>
                </w:tcPr>
                <w:p w14:paraId="370F3014" w14:textId="7B73BA17" w:rsidR="00AA23CF" w:rsidRPr="00AA23CF" w:rsidRDefault="005F41AB"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142.240 417</w:t>
                  </w:r>
                  <w:r w:rsidR="00AA23CF" w:rsidRPr="00AA23CF">
                    <w:rPr>
                      <w:rFonts w:ascii="Times New Roman" w:eastAsia="Times New Roman" w:hAnsi="Times New Roman"/>
                      <w:sz w:val="14"/>
                      <w:szCs w:val="14"/>
                      <w:lang w:eastAsia="hu-HU"/>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CB451B8" w14:textId="398A1C3E" w:rsidR="00AA23CF" w:rsidRPr="00AA23CF" w:rsidRDefault="005F41AB"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142.459.922</w:t>
                  </w:r>
                  <w:r w:rsidR="00AA23CF" w:rsidRPr="00AA23CF">
                    <w:rPr>
                      <w:rFonts w:ascii="Times New Roman" w:eastAsia="Times New Roman" w:hAnsi="Times New Roman"/>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0CAFF39D" w14:textId="797FEB9B" w:rsidR="00AA23CF" w:rsidRPr="00AA23CF" w:rsidRDefault="005F41AB"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+ 219 505</w:t>
                  </w:r>
                </w:p>
              </w:tc>
              <w:tc>
                <w:tcPr>
                  <w:tcW w:w="1457" w:type="dxa"/>
                  <w:tcBorders>
                    <w:top w:val="nil"/>
                    <w:left w:val="nil"/>
                    <w:bottom w:val="single" w:sz="4" w:space="0" w:color="auto"/>
                    <w:right w:val="single" w:sz="4" w:space="0" w:color="auto"/>
                  </w:tcBorders>
                  <w:shd w:val="clear" w:color="auto" w:fill="auto"/>
                  <w:noWrap/>
                  <w:vAlign w:val="bottom"/>
                  <w:hideMark/>
                </w:tcPr>
                <w:p w14:paraId="55217380" w14:textId="21602055" w:rsidR="00AA23CF" w:rsidRPr="00AA23CF" w:rsidRDefault="005F41AB"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 xml:space="preserve">100,15 </w:t>
                  </w:r>
                  <w:r w:rsidR="00AA23CF" w:rsidRPr="00AA23CF">
                    <w:rPr>
                      <w:rFonts w:ascii="Times New Roman" w:eastAsia="Times New Roman" w:hAnsi="Times New Roman"/>
                      <w:i/>
                      <w:iCs/>
                      <w:sz w:val="14"/>
                      <w:szCs w:val="14"/>
                      <w:lang w:eastAsia="hu-HU"/>
                    </w:rPr>
                    <w:t>%</w:t>
                  </w:r>
                </w:p>
              </w:tc>
            </w:tr>
            <w:tr w:rsidR="00AA23CF" w:rsidRPr="00AA23CF" w14:paraId="21F87824"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0C0E9A2E"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Gépjárműadó</w:t>
                  </w:r>
                </w:p>
              </w:tc>
              <w:tc>
                <w:tcPr>
                  <w:tcW w:w="1910" w:type="dxa"/>
                  <w:tcBorders>
                    <w:top w:val="nil"/>
                    <w:left w:val="nil"/>
                    <w:bottom w:val="single" w:sz="4" w:space="0" w:color="auto"/>
                    <w:right w:val="single" w:sz="4" w:space="0" w:color="auto"/>
                  </w:tcBorders>
                  <w:shd w:val="clear" w:color="auto" w:fill="auto"/>
                  <w:noWrap/>
                  <w:vAlign w:val="bottom"/>
                  <w:hideMark/>
                </w:tcPr>
                <w:p w14:paraId="273D8565" w14:textId="6B58DD47"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5F41AB">
                    <w:rPr>
                      <w:rFonts w:ascii="Times New Roman" w:eastAsia="Times New Roman" w:hAnsi="Times New Roman"/>
                      <w:sz w:val="14"/>
                      <w:szCs w:val="14"/>
                      <w:lang w:eastAsia="hu-HU"/>
                    </w:rPr>
                    <w:t>21.000.000</w:t>
                  </w:r>
                  <w:r w:rsidRPr="00AA23CF">
                    <w:rPr>
                      <w:rFonts w:ascii="Times New Roman" w:eastAsia="Times New Roman" w:hAnsi="Times New Roman"/>
                      <w:sz w:val="14"/>
                      <w:szCs w:val="14"/>
                      <w:lang w:eastAsia="hu-HU"/>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7E332D62" w14:textId="7CFCFF83"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5F41AB">
                    <w:rPr>
                      <w:rFonts w:ascii="Times New Roman" w:eastAsia="Times New Roman" w:hAnsi="Times New Roman"/>
                      <w:sz w:val="14"/>
                      <w:szCs w:val="14"/>
                      <w:lang w:eastAsia="hu-HU"/>
                    </w:rPr>
                    <w:t>647.020</w:t>
                  </w:r>
                  <w:r w:rsidRPr="00AA23CF">
                    <w:rPr>
                      <w:rFonts w:ascii="Times New Roman" w:eastAsia="Times New Roman" w:hAnsi="Times New Roman"/>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0C610390" w14:textId="6AB11926" w:rsidR="00AA23CF" w:rsidRPr="00AA23CF" w:rsidRDefault="005F41AB"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- 20352980</w:t>
                  </w:r>
                  <w:r w:rsidR="00AA23CF" w:rsidRPr="00AA23CF">
                    <w:rPr>
                      <w:rFonts w:ascii="Times New Roman" w:eastAsia="Times New Roman" w:hAnsi="Times New Roman"/>
                      <w:sz w:val="14"/>
                      <w:szCs w:val="14"/>
                      <w:lang w:eastAsia="hu-HU"/>
                    </w:rPr>
                    <w:t xml:space="preserve">           </w:t>
                  </w:r>
                </w:p>
              </w:tc>
              <w:tc>
                <w:tcPr>
                  <w:tcW w:w="1457" w:type="dxa"/>
                  <w:tcBorders>
                    <w:top w:val="nil"/>
                    <w:left w:val="nil"/>
                    <w:bottom w:val="single" w:sz="4" w:space="0" w:color="auto"/>
                    <w:right w:val="single" w:sz="4" w:space="0" w:color="auto"/>
                  </w:tcBorders>
                  <w:shd w:val="clear" w:color="auto" w:fill="auto"/>
                  <w:noWrap/>
                  <w:vAlign w:val="bottom"/>
                  <w:hideMark/>
                </w:tcPr>
                <w:p w14:paraId="00D261A4" w14:textId="5C417A94" w:rsidR="00AA23CF" w:rsidRPr="00AA23CF" w:rsidRDefault="005F41AB"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3</w:t>
                  </w:r>
                  <w:r w:rsidR="00AA23CF" w:rsidRPr="00AA23CF">
                    <w:rPr>
                      <w:rFonts w:ascii="Times New Roman" w:eastAsia="Times New Roman" w:hAnsi="Times New Roman"/>
                      <w:i/>
                      <w:iCs/>
                      <w:sz w:val="14"/>
                      <w:szCs w:val="14"/>
                      <w:lang w:eastAsia="hu-HU"/>
                    </w:rPr>
                    <w:t>,00</w:t>
                  </w:r>
                  <w:r w:rsidR="007727C1">
                    <w:rPr>
                      <w:rFonts w:ascii="Times New Roman" w:eastAsia="Times New Roman" w:hAnsi="Times New Roman"/>
                      <w:i/>
                      <w:iCs/>
                      <w:sz w:val="14"/>
                      <w:szCs w:val="14"/>
                      <w:lang w:eastAsia="hu-HU"/>
                    </w:rPr>
                    <w:t xml:space="preserve"> </w:t>
                  </w:r>
                  <w:r w:rsidR="00AA23CF" w:rsidRPr="00AA23CF">
                    <w:rPr>
                      <w:rFonts w:ascii="Times New Roman" w:eastAsia="Times New Roman" w:hAnsi="Times New Roman"/>
                      <w:i/>
                      <w:iCs/>
                      <w:sz w:val="14"/>
                      <w:szCs w:val="14"/>
                      <w:lang w:eastAsia="hu-HU"/>
                    </w:rPr>
                    <w:t>%</w:t>
                  </w:r>
                </w:p>
              </w:tc>
            </w:tr>
            <w:tr w:rsidR="00AA23CF" w:rsidRPr="00AA23CF" w14:paraId="7190F017"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5425D352" w14:textId="7A283984" w:rsidR="00AA23CF" w:rsidRPr="00AA23CF" w:rsidRDefault="005F41AB" w:rsidP="00AA23CF">
                  <w:pPr>
                    <w:rPr>
                      <w:rFonts w:ascii="Times New Roman" w:eastAsia="Times New Roman" w:hAnsi="Times New Roman"/>
                      <w:b/>
                      <w:bCs/>
                      <w:sz w:val="14"/>
                      <w:szCs w:val="14"/>
                      <w:lang w:eastAsia="hu-HU"/>
                    </w:rPr>
                  </w:pPr>
                  <w:r>
                    <w:rPr>
                      <w:rFonts w:ascii="Times New Roman" w:eastAsia="Times New Roman" w:hAnsi="Times New Roman"/>
                      <w:b/>
                      <w:bCs/>
                      <w:sz w:val="14"/>
                      <w:szCs w:val="14"/>
                      <w:lang w:eastAsia="hu-HU"/>
                    </w:rPr>
                    <w:t>kommunális adó</w:t>
                  </w:r>
                </w:p>
              </w:tc>
              <w:tc>
                <w:tcPr>
                  <w:tcW w:w="1910" w:type="dxa"/>
                  <w:tcBorders>
                    <w:top w:val="nil"/>
                    <w:left w:val="nil"/>
                    <w:bottom w:val="single" w:sz="4" w:space="0" w:color="auto"/>
                    <w:right w:val="single" w:sz="4" w:space="0" w:color="auto"/>
                  </w:tcBorders>
                  <w:shd w:val="clear" w:color="auto" w:fill="auto"/>
                  <w:noWrap/>
                  <w:vAlign w:val="bottom"/>
                  <w:hideMark/>
                </w:tcPr>
                <w:p w14:paraId="4A28D8C0" w14:textId="103D896A"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5F41AB">
                    <w:rPr>
                      <w:rFonts w:ascii="Times New Roman" w:eastAsia="Times New Roman" w:hAnsi="Times New Roman"/>
                      <w:sz w:val="14"/>
                      <w:szCs w:val="14"/>
                      <w:lang w:eastAsia="hu-HU"/>
                    </w:rPr>
                    <w:t>17.00</w:t>
                  </w:r>
                  <w:r w:rsidRPr="00AA23CF">
                    <w:rPr>
                      <w:rFonts w:ascii="Times New Roman" w:eastAsia="Times New Roman" w:hAnsi="Times New Roman"/>
                      <w:sz w:val="14"/>
                      <w:szCs w:val="14"/>
                      <w:lang w:eastAsia="hu-HU"/>
                    </w:rPr>
                    <w:t>0</w:t>
                  </w:r>
                  <w:r w:rsidR="007727C1">
                    <w:rPr>
                      <w:rFonts w:ascii="Times New Roman" w:eastAsia="Times New Roman" w:hAnsi="Times New Roman"/>
                      <w:sz w:val="14"/>
                      <w:szCs w:val="14"/>
                      <w:lang w:eastAsia="hu-HU"/>
                    </w:rPr>
                    <w:t>.0</w:t>
                  </w:r>
                  <w:r w:rsidRPr="00AA23CF">
                    <w:rPr>
                      <w:rFonts w:ascii="Times New Roman" w:eastAsia="Times New Roman" w:hAnsi="Times New Roman"/>
                      <w:sz w:val="14"/>
                      <w:szCs w:val="14"/>
                      <w:lang w:eastAsia="hu-HU"/>
                    </w:rPr>
                    <w:t xml:space="preserve">00    </w:t>
                  </w:r>
                </w:p>
              </w:tc>
              <w:tc>
                <w:tcPr>
                  <w:tcW w:w="1560" w:type="dxa"/>
                  <w:tcBorders>
                    <w:top w:val="nil"/>
                    <w:left w:val="nil"/>
                    <w:bottom w:val="single" w:sz="4" w:space="0" w:color="auto"/>
                    <w:right w:val="single" w:sz="4" w:space="0" w:color="auto"/>
                  </w:tcBorders>
                  <w:shd w:val="clear" w:color="auto" w:fill="auto"/>
                  <w:noWrap/>
                  <w:vAlign w:val="bottom"/>
                  <w:hideMark/>
                </w:tcPr>
                <w:p w14:paraId="1C102BBF" w14:textId="6639A5C2" w:rsidR="00AA23CF" w:rsidRPr="00AA23CF" w:rsidRDefault="007727C1"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17.643.518</w:t>
                  </w:r>
                </w:p>
              </w:tc>
              <w:tc>
                <w:tcPr>
                  <w:tcW w:w="1945" w:type="dxa"/>
                  <w:tcBorders>
                    <w:top w:val="nil"/>
                    <w:left w:val="nil"/>
                    <w:bottom w:val="single" w:sz="4" w:space="0" w:color="auto"/>
                    <w:right w:val="single" w:sz="4" w:space="0" w:color="auto"/>
                  </w:tcBorders>
                  <w:shd w:val="clear" w:color="auto" w:fill="auto"/>
                  <w:noWrap/>
                  <w:vAlign w:val="bottom"/>
                  <w:hideMark/>
                </w:tcPr>
                <w:p w14:paraId="336B0ABD" w14:textId="72ADD486" w:rsidR="00AA23CF" w:rsidRPr="00AA23CF" w:rsidRDefault="007727C1"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+ 643.518</w:t>
                  </w:r>
                  <w:r w:rsidR="00AA23CF" w:rsidRPr="00AA23CF">
                    <w:rPr>
                      <w:rFonts w:ascii="Times New Roman" w:eastAsia="Times New Roman" w:hAnsi="Times New Roman"/>
                      <w:sz w:val="14"/>
                      <w:szCs w:val="14"/>
                      <w:lang w:eastAsia="hu-HU"/>
                    </w:rPr>
                    <w:t xml:space="preserve">              </w:t>
                  </w:r>
                </w:p>
              </w:tc>
              <w:tc>
                <w:tcPr>
                  <w:tcW w:w="1457" w:type="dxa"/>
                  <w:tcBorders>
                    <w:top w:val="nil"/>
                    <w:left w:val="nil"/>
                    <w:bottom w:val="single" w:sz="4" w:space="0" w:color="auto"/>
                    <w:right w:val="single" w:sz="4" w:space="0" w:color="auto"/>
                  </w:tcBorders>
                  <w:shd w:val="clear" w:color="auto" w:fill="auto"/>
                  <w:noWrap/>
                  <w:vAlign w:val="bottom"/>
                  <w:hideMark/>
                </w:tcPr>
                <w:p w14:paraId="2C87D206" w14:textId="6424363C" w:rsidR="00AA23CF" w:rsidRPr="00AA23CF" w:rsidRDefault="007727C1"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 xml:space="preserve">103,7 </w:t>
                  </w:r>
                  <w:r w:rsidR="00AA23CF" w:rsidRPr="00AA23CF">
                    <w:rPr>
                      <w:rFonts w:ascii="Times New Roman" w:eastAsia="Times New Roman" w:hAnsi="Times New Roman"/>
                      <w:i/>
                      <w:iCs/>
                      <w:sz w:val="14"/>
                      <w:szCs w:val="14"/>
                      <w:lang w:eastAsia="hu-HU"/>
                    </w:rPr>
                    <w:t>%</w:t>
                  </w:r>
                </w:p>
              </w:tc>
            </w:tr>
            <w:tr w:rsidR="00AA23CF" w:rsidRPr="00AA23CF" w14:paraId="71AE5D4A"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6057A03C"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Késedelmi pótlék</w:t>
                  </w:r>
                </w:p>
              </w:tc>
              <w:tc>
                <w:tcPr>
                  <w:tcW w:w="1910" w:type="dxa"/>
                  <w:tcBorders>
                    <w:top w:val="nil"/>
                    <w:left w:val="nil"/>
                    <w:bottom w:val="single" w:sz="4" w:space="0" w:color="auto"/>
                    <w:right w:val="single" w:sz="4" w:space="0" w:color="auto"/>
                  </w:tcBorders>
                  <w:shd w:val="clear" w:color="auto" w:fill="auto"/>
                  <w:noWrap/>
                  <w:vAlign w:val="bottom"/>
                  <w:hideMark/>
                </w:tcPr>
                <w:p w14:paraId="1CAAFDA2" w14:textId="6637ED66"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7727C1">
                    <w:rPr>
                      <w:rFonts w:ascii="Times New Roman" w:eastAsia="Times New Roman" w:hAnsi="Times New Roman"/>
                      <w:sz w:val="14"/>
                      <w:szCs w:val="14"/>
                      <w:lang w:eastAsia="hu-HU"/>
                    </w:rPr>
                    <w:t>1.000.000</w:t>
                  </w:r>
                  <w:r w:rsidRPr="00AA23CF">
                    <w:rPr>
                      <w:rFonts w:ascii="Times New Roman" w:eastAsia="Times New Roman" w:hAnsi="Times New Roman"/>
                      <w:sz w:val="14"/>
                      <w:szCs w:val="14"/>
                      <w:lang w:eastAsia="hu-HU"/>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6D0EF8A" w14:textId="69C6C64F" w:rsidR="00AA23CF" w:rsidRPr="00AA23CF" w:rsidRDefault="007727C1"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1.415.710</w:t>
                  </w:r>
                </w:p>
              </w:tc>
              <w:tc>
                <w:tcPr>
                  <w:tcW w:w="1945" w:type="dxa"/>
                  <w:tcBorders>
                    <w:top w:val="nil"/>
                    <w:left w:val="nil"/>
                    <w:bottom w:val="single" w:sz="4" w:space="0" w:color="auto"/>
                    <w:right w:val="single" w:sz="4" w:space="0" w:color="auto"/>
                  </w:tcBorders>
                  <w:shd w:val="clear" w:color="auto" w:fill="auto"/>
                  <w:noWrap/>
                  <w:vAlign w:val="bottom"/>
                  <w:hideMark/>
                </w:tcPr>
                <w:p w14:paraId="78826A1B" w14:textId="4969E6D8" w:rsidR="00AA23CF" w:rsidRPr="00AA23CF" w:rsidRDefault="007727C1"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+ 415 710</w:t>
                  </w:r>
                  <w:r w:rsidR="00AA23CF" w:rsidRPr="00AA23CF">
                    <w:rPr>
                      <w:rFonts w:ascii="Times New Roman" w:eastAsia="Times New Roman" w:hAnsi="Times New Roman"/>
                      <w:sz w:val="14"/>
                      <w:szCs w:val="14"/>
                      <w:lang w:eastAsia="hu-HU"/>
                    </w:rPr>
                    <w:t xml:space="preserve">    </w:t>
                  </w:r>
                </w:p>
              </w:tc>
              <w:tc>
                <w:tcPr>
                  <w:tcW w:w="1457" w:type="dxa"/>
                  <w:tcBorders>
                    <w:top w:val="nil"/>
                    <w:left w:val="nil"/>
                    <w:bottom w:val="single" w:sz="4" w:space="0" w:color="auto"/>
                    <w:right w:val="single" w:sz="4" w:space="0" w:color="auto"/>
                  </w:tcBorders>
                  <w:shd w:val="clear" w:color="auto" w:fill="auto"/>
                  <w:noWrap/>
                  <w:vAlign w:val="bottom"/>
                  <w:hideMark/>
                </w:tcPr>
                <w:p w14:paraId="3E2D7A01" w14:textId="78656016" w:rsidR="00AA23CF" w:rsidRPr="00AA23CF" w:rsidRDefault="007727C1" w:rsidP="00AA23CF">
                  <w:pPr>
                    <w:jc w:val="right"/>
                    <w:rPr>
                      <w:rFonts w:ascii="Times New Roman" w:eastAsia="Times New Roman" w:hAnsi="Times New Roman"/>
                      <w:i/>
                      <w:iCs/>
                      <w:sz w:val="14"/>
                      <w:szCs w:val="14"/>
                      <w:lang w:eastAsia="hu-HU"/>
                    </w:rPr>
                  </w:pPr>
                  <w:r>
                    <w:rPr>
                      <w:rFonts w:ascii="Times New Roman" w:eastAsia="Times New Roman" w:hAnsi="Times New Roman"/>
                      <w:i/>
                      <w:iCs/>
                      <w:sz w:val="14"/>
                      <w:szCs w:val="14"/>
                      <w:lang w:eastAsia="hu-HU"/>
                    </w:rPr>
                    <w:t xml:space="preserve">141.57 </w:t>
                  </w:r>
                  <w:r w:rsidR="00AA23CF" w:rsidRPr="00AA23CF">
                    <w:rPr>
                      <w:rFonts w:ascii="Times New Roman" w:eastAsia="Times New Roman" w:hAnsi="Times New Roman"/>
                      <w:i/>
                      <w:iCs/>
                      <w:sz w:val="14"/>
                      <w:szCs w:val="14"/>
                      <w:lang w:eastAsia="hu-HU"/>
                    </w:rPr>
                    <w:t>%</w:t>
                  </w:r>
                </w:p>
              </w:tc>
            </w:tr>
            <w:tr w:rsidR="00AA23CF" w:rsidRPr="00AA23CF" w14:paraId="627A3BEC"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5C77761A"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Talajterhelési díj</w:t>
                  </w:r>
                </w:p>
              </w:tc>
              <w:tc>
                <w:tcPr>
                  <w:tcW w:w="1910" w:type="dxa"/>
                  <w:tcBorders>
                    <w:top w:val="nil"/>
                    <w:left w:val="nil"/>
                    <w:bottom w:val="single" w:sz="4" w:space="0" w:color="auto"/>
                    <w:right w:val="single" w:sz="4" w:space="0" w:color="auto"/>
                  </w:tcBorders>
                  <w:shd w:val="clear" w:color="auto" w:fill="auto"/>
                  <w:noWrap/>
                  <w:vAlign w:val="bottom"/>
                  <w:hideMark/>
                </w:tcPr>
                <w:p w14:paraId="6DFAB183" w14:textId="26573555"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7727C1">
                    <w:rPr>
                      <w:rFonts w:ascii="Times New Roman" w:eastAsia="Times New Roman" w:hAnsi="Times New Roman"/>
                      <w:sz w:val="14"/>
                      <w:szCs w:val="14"/>
                      <w:lang w:eastAsia="hu-HU"/>
                    </w:rPr>
                    <w:t>100.000</w:t>
                  </w:r>
                  <w:r w:rsidRPr="00AA23CF">
                    <w:rPr>
                      <w:rFonts w:ascii="Times New Roman" w:eastAsia="Times New Roman" w:hAnsi="Times New Roman"/>
                      <w:sz w:val="14"/>
                      <w:szCs w:val="14"/>
                      <w:lang w:eastAsia="hu-HU"/>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578E846" w14:textId="25EB20C7" w:rsidR="00AA23CF" w:rsidRPr="00AA23CF" w:rsidRDefault="00AA23CF" w:rsidP="00AA23CF">
                  <w:pPr>
                    <w:jc w:val="right"/>
                    <w:rPr>
                      <w:rFonts w:ascii="Times New Roman" w:eastAsia="Times New Roman" w:hAnsi="Times New Roman"/>
                      <w:sz w:val="14"/>
                      <w:szCs w:val="14"/>
                      <w:lang w:eastAsia="hu-HU"/>
                    </w:rPr>
                  </w:pPr>
                  <w:r w:rsidRPr="00AA23CF">
                    <w:rPr>
                      <w:rFonts w:ascii="Times New Roman" w:eastAsia="Times New Roman" w:hAnsi="Times New Roman"/>
                      <w:sz w:val="14"/>
                      <w:szCs w:val="14"/>
                      <w:lang w:eastAsia="hu-HU"/>
                    </w:rPr>
                    <w:t xml:space="preserve">                    </w:t>
                  </w:r>
                  <w:r w:rsidR="007727C1">
                    <w:rPr>
                      <w:rFonts w:ascii="Times New Roman" w:eastAsia="Times New Roman" w:hAnsi="Times New Roman"/>
                      <w:sz w:val="14"/>
                      <w:szCs w:val="14"/>
                      <w:lang w:eastAsia="hu-HU"/>
                    </w:rPr>
                    <w:t>100.800</w:t>
                  </w:r>
                  <w:r w:rsidRPr="00AA23CF">
                    <w:rPr>
                      <w:rFonts w:ascii="Times New Roman" w:eastAsia="Times New Roman" w:hAnsi="Times New Roman"/>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4A739EAB" w14:textId="7EBD892B" w:rsidR="00AA23CF" w:rsidRPr="00AA23CF" w:rsidRDefault="007727C1" w:rsidP="00AA23CF">
                  <w:pPr>
                    <w:jc w:val="right"/>
                    <w:rPr>
                      <w:rFonts w:ascii="Times New Roman" w:eastAsia="Times New Roman" w:hAnsi="Times New Roman"/>
                      <w:sz w:val="14"/>
                      <w:szCs w:val="14"/>
                      <w:lang w:eastAsia="hu-HU"/>
                    </w:rPr>
                  </w:pPr>
                  <w:r>
                    <w:rPr>
                      <w:rFonts w:ascii="Times New Roman" w:eastAsia="Times New Roman" w:hAnsi="Times New Roman"/>
                      <w:sz w:val="14"/>
                      <w:szCs w:val="14"/>
                      <w:lang w:eastAsia="hu-HU"/>
                    </w:rPr>
                    <w:t>+800</w:t>
                  </w:r>
                </w:p>
              </w:tc>
              <w:tc>
                <w:tcPr>
                  <w:tcW w:w="1457" w:type="dxa"/>
                  <w:tcBorders>
                    <w:top w:val="nil"/>
                    <w:left w:val="nil"/>
                    <w:bottom w:val="single" w:sz="4" w:space="0" w:color="auto"/>
                    <w:right w:val="single" w:sz="4" w:space="0" w:color="auto"/>
                  </w:tcBorders>
                  <w:shd w:val="clear" w:color="auto" w:fill="auto"/>
                  <w:noWrap/>
                  <w:vAlign w:val="bottom"/>
                  <w:hideMark/>
                </w:tcPr>
                <w:p w14:paraId="509AECC6" w14:textId="77777777" w:rsidR="00AA23CF" w:rsidRPr="00AA23CF" w:rsidRDefault="00AA23CF" w:rsidP="00AA23CF">
                  <w:pPr>
                    <w:jc w:val="right"/>
                    <w:rPr>
                      <w:rFonts w:ascii="Times New Roman" w:eastAsia="Times New Roman" w:hAnsi="Times New Roman"/>
                      <w:i/>
                      <w:iCs/>
                      <w:sz w:val="14"/>
                      <w:szCs w:val="14"/>
                      <w:lang w:eastAsia="hu-HU"/>
                    </w:rPr>
                  </w:pPr>
                  <w:r w:rsidRPr="00AA23CF">
                    <w:rPr>
                      <w:rFonts w:ascii="Times New Roman" w:eastAsia="Times New Roman" w:hAnsi="Times New Roman"/>
                      <w:i/>
                      <w:iCs/>
                      <w:sz w:val="14"/>
                      <w:szCs w:val="14"/>
                      <w:lang w:eastAsia="hu-HU"/>
                    </w:rPr>
                    <w:t>270,00%</w:t>
                  </w:r>
                </w:p>
              </w:tc>
            </w:tr>
            <w:tr w:rsidR="00AA23CF" w:rsidRPr="00AA23CF" w14:paraId="4639F870" w14:textId="77777777" w:rsidTr="00463564">
              <w:trPr>
                <w:trHeight w:val="255"/>
                <w:jc w:val="center"/>
              </w:trPr>
              <w:tc>
                <w:tcPr>
                  <w:tcW w:w="1540" w:type="dxa"/>
                  <w:tcBorders>
                    <w:top w:val="nil"/>
                    <w:left w:val="single" w:sz="4" w:space="0" w:color="auto"/>
                    <w:bottom w:val="single" w:sz="4" w:space="0" w:color="auto"/>
                    <w:right w:val="single" w:sz="4" w:space="0" w:color="auto"/>
                  </w:tcBorders>
                  <w:shd w:val="clear" w:color="000000" w:fill="DCF3FE"/>
                  <w:noWrap/>
                  <w:vAlign w:val="bottom"/>
                  <w:hideMark/>
                </w:tcPr>
                <w:p w14:paraId="0659BE54" w14:textId="77777777" w:rsidR="00AA23CF" w:rsidRPr="00AA23CF" w:rsidRDefault="00AA23CF" w:rsidP="00AA23CF">
                  <w:pPr>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Összesen:</w:t>
                  </w:r>
                </w:p>
              </w:tc>
              <w:tc>
                <w:tcPr>
                  <w:tcW w:w="1910" w:type="dxa"/>
                  <w:tcBorders>
                    <w:top w:val="nil"/>
                    <w:left w:val="nil"/>
                    <w:bottom w:val="single" w:sz="4" w:space="0" w:color="auto"/>
                    <w:right w:val="single" w:sz="4" w:space="0" w:color="auto"/>
                  </w:tcBorders>
                  <w:shd w:val="clear" w:color="auto" w:fill="auto"/>
                  <w:noWrap/>
                  <w:vAlign w:val="bottom"/>
                  <w:hideMark/>
                </w:tcPr>
                <w:p w14:paraId="3BE75E14" w14:textId="1E0AEF19" w:rsidR="00AA23CF" w:rsidRPr="00AA23CF" w:rsidRDefault="00AA23CF" w:rsidP="00AA23CF">
                  <w:pPr>
                    <w:jc w:val="right"/>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 xml:space="preserve">           </w:t>
                  </w:r>
                  <w:r w:rsidR="00C90CDC">
                    <w:rPr>
                      <w:rFonts w:ascii="Times New Roman" w:eastAsia="Times New Roman" w:hAnsi="Times New Roman"/>
                      <w:b/>
                      <w:bCs/>
                      <w:sz w:val="14"/>
                      <w:szCs w:val="14"/>
                      <w:lang w:eastAsia="hu-HU"/>
                    </w:rPr>
                    <w:t>188.040.417</w:t>
                  </w:r>
                  <w:r w:rsidRPr="00AA23CF">
                    <w:rPr>
                      <w:rFonts w:ascii="Times New Roman" w:eastAsia="Times New Roman" w:hAnsi="Times New Roman"/>
                      <w:b/>
                      <w:bCs/>
                      <w:sz w:val="14"/>
                      <w:szCs w:val="14"/>
                      <w:lang w:eastAsia="hu-HU"/>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610FCA2" w14:textId="2E8FB871" w:rsidR="00AA23CF" w:rsidRPr="00AA23CF" w:rsidRDefault="00AA23CF" w:rsidP="00AA23CF">
                  <w:pPr>
                    <w:jc w:val="right"/>
                    <w:rPr>
                      <w:rFonts w:ascii="Times New Roman" w:eastAsia="Times New Roman" w:hAnsi="Times New Roman"/>
                      <w:b/>
                      <w:bCs/>
                      <w:sz w:val="14"/>
                      <w:szCs w:val="14"/>
                      <w:lang w:eastAsia="hu-HU"/>
                    </w:rPr>
                  </w:pPr>
                  <w:r w:rsidRPr="00AA23CF">
                    <w:rPr>
                      <w:rFonts w:ascii="Times New Roman" w:eastAsia="Times New Roman" w:hAnsi="Times New Roman"/>
                      <w:b/>
                      <w:bCs/>
                      <w:sz w:val="14"/>
                      <w:szCs w:val="14"/>
                      <w:lang w:eastAsia="hu-HU"/>
                    </w:rPr>
                    <w:t xml:space="preserve">            </w:t>
                  </w:r>
                  <w:r w:rsidR="00C90CDC">
                    <w:rPr>
                      <w:rFonts w:ascii="Times New Roman" w:eastAsia="Times New Roman" w:hAnsi="Times New Roman"/>
                      <w:b/>
                      <w:bCs/>
                      <w:sz w:val="14"/>
                      <w:szCs w:val="14"/>
                      <w:lang w:eastAsia="hu-HU"/>
                    </w:rPr>
                    <w:t>168371567</w:t>
                  </w:r>
                  <w:r w:rsidRPr="00AA23CF">
                    <w:rPr>
                      <w:rFonts w:ascii="Times New Roman" w:eastAsia="Times New Roman" w:hAnsi="Times New Roman"/>
                      <w:b/>
                      <w:bCs/>
                      <w:sz w:val="14"/>
                      <w:szCs w:val="14"/>
                      <w:lang w:eastAsia="hu-HU"/>
                    </w:rPr>
                    <w:t xml:space="preserve">  </w:t>
                  </w:r>
                </w:p>
              </w:tc>
              <w:tc>
                <w:tcPr>
                  <w:tcW w:w="1945" w:type="dxa"/>
                  <w:tcBorders>
                    <w:top w:val="nil"/>
                    <w:left w:val="nil"/>
                    <w:bottom w:val="single" w:sz="4" w:space="0" w:color="auto"/>
                    <w:right w:val="single" w:sz="4" w:space="0" w:color="auto"/>
                  </w:tcBorders>
                  <w:shd w:val="clear" w:color="auto" w:fill="auto"/>
                  <w:noWrap/>
                  <w:vAlign w:val="bottom"/>
                  <w:hideMark/>
                </w:tcPr>
                <w:p w14:paraId="44B8A4C0" w14:textId="360F53FA" w:rsidR="00AA23CF" w:rsidRPr="00AA23CF" w:rsidRDefault="00C90CDC" w:rsidP="00AA23CF">
                  <w:pPr>
                    <w:jc w:val="right"/>
                    <w:rPr>
                      <w:rFonts w:ascii="Times New Roman" w:eastAsia="Times New Roman" w:hAnsi="Times New Roman"/>
                      <w:b/>
                      <w:bCs/>
                      <w:sz w:val="14"/>
                      <w:szCs w:val="14"/>
                      <w:lang w:eastAsia="hu-HU"/>
                    </w:rPr>
                  </w:pPr>
                  <w:r>
                    <w:rPr>
                      <w:rFonts w:ascii="Times New Roman" w:eastAsia="Times New Roman" w:hAnsi="Times New Roman"/>
                      <w:b/>
                      <w:bCs/>
                      <w:sz w:val="14"/>
                      <w:szCs w:val="14"/>
                      <w:lang w:eastAsia="hu-HU"/>
                    </w:rPr>
                    <w:t>-129033867</w:t>
                  </w:r>
                </w:p>
              </w:tc>
              <w:tc>
                <w:tcPr>
                  <w:tcW w:w="1457" w:type="dxa"/>
                  <w:tcBorders>
                    <w:top w:val="nil"/>
                    <w:left w:val="nil"/>
                    <w:bottom w:val="single" w:sz="4" w:space="0" w:color="auto"/>
                    <w:right w:val="single" w:sz="4" w:space="0" w:color="auto"/>
                  </w:tcBorders>
                  <w:shd w:val="clear" w:color="auto" w:fill="auto"/>
                  <w:noWrap/>
                  <w:vAlign w:val="bottom"/>
                  <w:hideMark/>
                </w:tcPr>
                <w:p w14:paraId="7A9521AE" w14:textId="55A59C35" w:rsidR="00AA23CF" w:rsidRPr="00AA23CF" w:rsidRDefault="00C90CDC" w:rsidP="00AA23CF">
                  <w:pPr>
                    <w:jc w:val="right"/>
                    <w:rPr>
                      <w:rFonts w:ascii="Times New Roman" w:eastAsia="Times New Roman" w:hAnsi="Times New Roman"/>
                      <w:b/>
                      <w:bCs/>
                      <w:i/>
                      <w:iCs/>
                      <w:sz w:val="14"/>
                      <w:szCs w:val="14"/>
                      <w:lang w:eastAsia="hu-HU"/>
                    </w:rPr>
                  </w:pPr>
                  <w:r>
                    <w:rPr>
                      <w:rFonts w:ascii="Times New Roman" w:eastAsia="Times New Roman" w:hAnsi="Times New Roman"/>
                      <w:b/>
                      <w:bCs/>
                      <w:i/>
                      <w:iCs/>
                      <w:sz w:val="14"/>
                      <w:szCs w:val="14"/>
                      <w:lang w:eastAsia="hu-HU"/>
                    </w:rPr>
                    <w:t>89,54</w:t>
                  </w:r>
                  <w:r w:rsidR="00AA23CF" w:rsidRPr="00AA23CF">
                    <w:rPr>
                      <w:rFonts w:ascii="Times New Roman" w:eastAsia="Times New Roman" w:hAnsi="Times New Roman"/>
                      <w:b/>
                      <w:bCs/>
                      <w:i/>
                      <w:iCs/>
                      <w:sz w:val="14"/>
                      <w:szCs w:val="14"/>
                      <w:lang w:eastAsia="hu-HU"/>
                    </w:rPr>
                    <w:t>%</w:t>
                  </w:r>
                </w:p>
              </w:tc>
            </w:tr>
          </w:tbl>
          <w:p w14:paraId="38FCADA4" w14:textId="77777777" w:rsidR="00AA23CF" w:rsidRDefault="00AA23CF" w:rsidP="006E6CFC">
            <w:pPr>
              <w:jc w:val="center"/>
              <w:rPr>
                <w:rFonts w:ascii="Times New Roman" w:hAnsi="Times New Roman"/>
                <w:b/>
                <w:bCs/>
                <w:sz w:val="16"/>
                <w:szCs w:val="16"/>
              </w:rPr>
            </w:pPr>
          </w:p>
          <w:p w14:paraId="509E34F5" w14:textId="77777777" w:rsidR="008428C0" w:rsidRPr="00DA6661" w:rsidRDefault="008428C0" w:rsidP="006E6CFC">
            <w:pPr>
              <w:jc w:val="center"/>
              <w:rPr>
                <w:rFonts w:ascii="Times New Roman" w:hAnsi="Times New Roman"/>
                <w:b/>
                <w:bCs/>
                <w:sz w:val="16"/>
                <w:szCs w:val="16"/>
                <w:lang w:eastAsia="hu-HU"/>
              </w:rPr>
            </w:pPr>
          </w:p>
        </w:tc>
      </w:tr>
    </w:tbl>
    <w:p w14:paraId="3ED5755D" w14:textId="3D68EDAB" w:rsidR="00FD5EE1" w:rsidRPr="00BC5063" w:rsidRDefault="00BC5063" w:rsidP="00BC5063">
      <w:pPr>
        <w:jc w:val="both"/>
        <w:rPr>
          <w:rFonts w:ascii="Times New Roman" w:hAnsi="Times New Roman"/>
          <w:sz w:val="24"/>
          <w:szCs w:val="24"/>
          <w:lang w:eastAsia="hu-HU"/>
        </w:rPr>
      </w:pPr>
      <w:r w:rsidRPr="00957043">
        <w:rPr>
          <w:rFonts w:ascii="Times New Roman" w:hAnsi="Times New Roman"/>
          <w:color w:val="000000" w:themeColor="text1"/>
          <w:sz w:val="24"/>
          <w:szCs w:val="24"/>
          <w:lang w:eastAsia="hu-HU"/>
        </w:rPr>
        <w:t xml:space="preserve">A veszélyhelyzet </w:t>
      </w:r>
      <w:r w:rsidR="00656EE3" w:rsidRPr="00957043">
        <w:rPr>
          <w:rFonts w:ascii="Times New Roman" w:hAnsi="Times New Roman"/>
          <w:color w:val="000000" w:themeColor="text1"/>
          <w:sz w:val="24"/>
          <w:szCs w:val="24"/>
          <w:lang w:eastAsia="hu-HU"/>
        </w:rPr>
        <w:t xml:space="preserve">huzamosabb időszakra </w:t>
      </w:r>
      <w:r w:rsidRPr="00957043">
        <w:rPr>
          <w:rFonts w:ascii="Times New Roman" w:hAnsi="Times New Roman"/>
          <w:color w:val="000000" w:themeColor="text1"/>
          <w:sz w:val="24"/>
          <w:szCs w:val="24"/>
          <w:lang w:eastAsia="hu-HU"/>
        </w:rPr>
        <w:t>nem szűnt meg a 2020 évről 2021 évre váltással, így a meghozott intézkedések továbbra is fennmaradtak, sőt születtek helyettük újak, melyek jelentősen érintik a helyi adóztatást is. A Kormány továbbra is elkötelezett a gazdaságvédelem területén, így a meghozott intézkedések megtartása</w:t>
      </w:r>
      <w:r w:rsidR="00656EE3" w:rsidRPr="00957043">
        <w:rPr>
          <w:rFonts w:ascii="Times New Roman" w:hAnsi="Times New Roman"/>
          <w:color w:val="000000" w:themeColor="text1"/>
          <w:sz w:val="24"/>
          <w:szCs w:val="24"/>
          <w:lang w:eastAsia="hu-HU"/>
        </w:rPr>
        <w:t>,</w:t>
      </w:r>
      <w:r w:rsidRPr="00957043">
        <w:rPr>
          <w:rFonts w:ascii="Times New Roman" w:hAnsi="Times New Roman"/>
          <w:color w:val="000000" w:themeColor="text1"/>
          <w:sz w:val="24"/>
          <w:szCs w:val="24"/>
          <w:lang w:eastAsia="hu-HU"/>
        </w:rPr>
        <w:t xml:space="preserve"> valamint az újabb intézkedések meghozatala a gazdaság élénkítésére, a vállalkozások megtartására irányul. A kialakult pandémia és a Kormány intézkedései a veszélyhelyzetre vonatkozóan azt eredményezték, hogy a gépjárműadó teljes bevételét nélkülöznie kell a városnak. A szállodák és fizetővendéglátó szolgáltatók központi intézkedésen keresztüli támogatásával az idegenforgalmi adóban is jelentős kiesést tapasztaltunk az elmúlt évben, hiszen a központi szabályozás szerint a veszélyhelyzet fennállása alatt a szolgáltatóknak nem kellett az idegenforgalmi adót beszedniük és az önkormányzati adóhatóság felé befizetniük. A 2020. első félévében meghozott, helyi adó törvényt érintő módosítás sarkalatos pontja egyrészt a reklámadó eltörlése volt, másrészt pedig </w:t>
      </w:r>
      <w:r w:rsidRPr="00957043">
        <w:rPr>
          <w:rFonts w:ascii="Times New Roman" w:hAnsi="Times New Roman"/>
          <w:color w:val="000000" w:themeColor="text1"/>
          <w:sz w:val="24"/>
          <w:szCs w:val="24"/>
          <w:lang w:eastAsia="hu-HU"/>
        </w:rPr>
        <w:lastRenderedPageBreak/>
        <w:t xml:space="preserve">a jogi személyek </w:t>
      </w:r>
      <w:proofErr w:type="spellStart"/>
      <w:r w:rsidRPr="00957043">
        <w:rPr>
          <w:rFonts w:ascii="Times New Roman" w:hAnsi="Times New Roman"/>
          <w:color w:val="000000" w:themeColor="text1"/>
          <w:sz w:val="24"/>
          <w:szCs w:val="24"/>
          <w:lang w:eastAsia="hu-HU"/>
        </w:rPr>
        <w:t>adóév</w:t>
      </w:r>
      <w:proofErr w:type="spellEnd"/>
      <w:r w:rsidRPr="00957043">
        <w:rPr>
          <w:rFonts w:ascii="Times New Roman" w:hAnsi="Times New Roman"/>
          <w:color w:val="000000" w:themeColor="text1"/>
          <w:sz w:val="24"/>
          <w:szCs w:val="24"/>
          <w:lang w:eastAsia="hu-HU"/>
        </w:rPr>
        <w:t xml:space="preserve"> december 20-áig történő feltöltési kötelezettségének hatályon kívül helyezése.  A folyamatos változást támasztja alá a 2020. </w:t>
      </w:r>
      <w:proofErr w:type="spellStart"/>
      <w:r w:rsidRPr="00957043">
        <w:rPr>
          <w:rFonts w:ascii="Times New Roman" w:hAnsi="Times New Roman"/>
          <w:color w:val="000000" w:themeColor="text1"/>
          <w:sz w:val="24"/>
          <w:szCs w:val="24"/>
          <w:lang w:eastAsia="hu-HU"/>
        </w:rPr>
        <w:t>adóév</w:t>
      </w:r>
      <w:proofErr w:type="spellEnd"/>
      <w:r w:rsidRPr="00957043">
        <w:rPr>
          <w:rFonts w:ascii="Times New Roman" w:hAnsi="Times New Roman"/>
          <w:color w:val="000000" w:themeColor="text1"/>
          <w:sz w:val="24"/>
          <w:szCs w:val="24"/>
          <w:lang w:eastAsia="hu-HU"/>
        </w:rPr>
        <w:t xml:space="preserve"> második felében az egyes adótörvények változásáról szóló 2020. évi CXVIII. törvény kihirdetése is, valamint </w:t>
      </w:r>
      <w:r w:rsidRPr="00BC5063">
        <w:rPr>
          <w:rFonts w:ascii="Times New Roman" w:hAnsi="Times New Roman"/>
          <w:sz w:val="24"/>
          <w:szCs w:val="24"/>
          <w:lang w:eastAsia="hu-HU"/>
        </w:rPr>
        <w:t>az Önkormányzat gazdálkodására vonatkozóan további súlyos központi intézkedés került kihirdetésre: a koronavírus-világjárvány nemzetgazdaságot érintő hatásának enyhítése érdekében szükséges egyes intézkedésekről szóló 639/2020. (XII. 22.) Kormányrendelet a helyi iparűzési adó mértékének 1%-ban való maximalizálásában.</w:t>
      </w:r>
      <w:r w:rsidRPr="00BC5063">
        <w:t xml:space="preserve"> </w:t>
      </w:r>
      <w:r w:rsidRPr="00BC5063">
        <w:rPr>
          <w:rFonts w:ascii="Times New Roman" w:hAnsi="Times New Roman"/>
          <w:sz w:val="24"/>
          <w:szCs w:val="24"/>
          <w:lang w:eastAsia="hu-HU"/>
        </w:rPr>
        <w:t>A 2020. évi változások eredményeként, a törvényi módosítások figyelembevétele mellett a 2021. évre vonatkozó tervezés az első félévben a korábbi évekhez hasonlóan megtörtént. A koronavírus-járvány még nem ért véget, egyes adótörvényi változások továbbra is hatályban vannak, így a tervezés folyamatát különös óvatosság jellemezte</w:t>
      </w:r>
      <w:r w:rsidR="00EC15C3">
        <w:rPr>
          <w:rFonts w:ascii="Times New Roman" w:hAnsi="Times New Roman"/>
          <w:sz w:val="24"/>
          <w:szCs w:val="24"/>
          <w:lang w:eastAsia="hu-HU"/>
        </w:rPr>
        <w:t>.</w:t>
      </w:r>
    </w:p>
    <w:p w14:paraId="1E043473" w14:textId="2ED040CD" w:rsidR="00BC5063" w:rsidRDefault="00BC5063" w:rsidP="00DA6661">
      <w:pPr>
        <w:jc w:val="both"/>
        <w:rPr>
          <w:rFonts w:ascii="Times New Roman" w:hAnsi="Times New Roman"/>
          <w:sz w:val="24"/>
          <w:szCs w:val="24"/>
          <w:lang w:eastAsia="hu-HU"/>
        </w:rPr>
      </w:pPr>
      <w:r w:rsidRPr="00BC5063">
        <w:rPr>
          <w:rFonts w:ascii="Times New Roman" w:hAnsi="Times New Roman"/>
          <w:sz w:val="24"/>
          <w:szCs w:val="24"/>
          <w:lang w:eastAsia="hu-HU"/>
        </w:rPr>
        <w:t xml:space="preserve">A központi tervezési irányelvekhez hasonlóan az Önkormányzat célkitűzése a munkahelyek megvédése, a világjárvány hatásának leginkább kitett szociális ágazat támogatása. Ezen tények és változások figyelembevétele mellett a költségvetés tervezése jelentős óvatosságra intette </w:t>
      </w:r>
      <w:proofErr w:type="gramStart"/>
      <w:r w:rsidRPr="00BC5063">
        <w:rPr>
          <w:rFonts w:ascii="Times New Roman" w:hAnsi="Times New Roman"/>
          <w:sz w:val="24"/>
          <w:szCs w:val="24"/>
          <w:lang w:eastAsia="hu-HU"/>
        </w:rPr>
        <w:t>a</w:t>
      </w:r>
      <w:proofErr w:type="gramEnd"/>
      <w:r w:rsidRPr="00BC5063">
        <w:rPr>
          <w:rFonts w:ascii="Times New Roman" w:hAnsi="Times New Roman"/>
          <w:sz w:val="24"/>
          <w:szCs w:val="24"/>
          <w:lang w:eastAsia="hu-HU"/>
        </w:rPr>
        <w:t xml:space="preserve"> önkormányzatot. A költségvetés elfogadása rendhagyó módon a különleges jogrendre való tekintettel polgármesteri rendelet formájában született meg. Ezek értelmében a helyi adóbevételek tervezése a 2021. évi költségvetésben a következők alapján történtek meg</w:t>
      </w:r>
      <w:r w:rsidR="008C3BE8">
        <w:rPr>
          <w:rStyle w:val="Lbjegyzet-hivatkozs"/>
          <w:rFonts w:ascii="Times New Roman" w:hAnsi="Times New Roman"/>
          <w:sz w:val="24"/>
          <w:szCs w:val="24"/>
          <w:lang w:eastAsia="hu-HU"/>
        </w:rPr>
        <w:footnoteReference w:id="1"/>
      </w:r>
      <w:r w:rsidRPr="00BC5063">
        <w:rPr>
          <w:rFonts w:ascii="Times New Roman" w:hAnsi="Times New Roman"/>
          <w:sz w:val="24"/>
          <w:szCs w:val="24"/>
          <w:lang w:eastAsia="hu-HU"/>
        </w:rPr>
        <w:t>:</w:t>
      </w:r>
      <w:r w:rsidR="008C3BE8">
        <w:rPr>
          <w:rFonts w:ascii="Times New Roman" w:hAnsi="Times New Roman"/>
          <w:sz w:val="24"/>
          <w:szCs w:val="24"/>
          <w:lang w:eastAsia="hu-HU"/>
        </w:rPr>
        <w:t xml:space="preserve"> </w:t>
      </w:r>
    </w:p>
    <w:p w14:paraId="225CD414" w14:textId="77777777" w:rsidR="00BC5063" w:rsidRDefault="00BC5063" w:rsidP="00DA6661">
      <w:pPr>
        <w:jc w:val="both"/>
        <w:rPr>
          <w:rFonts w:ascii="Times New Roman" w:hAnsi="Times New Roman"/>
          <w:sz w:val="24"/>
          <w:szCs w:val="24"/>
          <w:lang w:eastAsia="hu-HU"/>
        </w:rPr>
      </w:pPr>
    </w:p>
    <w:p w14:paraId="061DAB16" w14:textId="0690D7A8" w:rsidR="00BC5063" w:rsidRDefault="00BC5063" w:rsidP="00DA6661">
      <w:pPr>
        <w:jc w:val="both"/>
        <w:rPr>
          <w:rFonts w:ascii="Times New Roman" w:hAnsi="Times New Roman"/>
          <w:sz w:val="24"/>
          <w:szCs w:val="24"/>
          <w:lang w:eastAsia="hu-HU"/>
        </w:rPr>
      </w:pPr>
    </w:p>
    <w:p w14:paraId="3B392536" w14:textId="77777777" w:rsidR="00BC5063" w:rsidRPr="00BC5063" w:rsidRDefault="00BC5063" w:rsidP="00BC5063">
      <w:pPr>
        <w:jc w:val="center"/>
        <w:rPr>
          <w:rFonts w:ascii="Times New Roman" w:hAnsi="Times New Roman"/>
          <w:b/>
          <w:sz w:val="24"/>
          <w:szCs w:val="24"/>
          <w:lang w:eastAsia="hu-HU"/>
        </w:rPr>
      </w:pPr>
      <w:r w:rsidRPr="00BC5063">
        <w:rPr>
          <w:rFonts w:ascii="Times New Roman" w:hAnsi="Times New Roman"/>
          <w:b/>
          <w:sz w:val="24"/>
          <w:szCs w:val="24"/>
          <w:lang w:eastAsia="hu-HU"/>
        </w:rPr>
        <w:t>Adóbevételek teljesülése 2021. I. félév</w:t>
      </w:r>
    </w:p>
    <w:p w14:paraId="59754B40" w14:textId="77777777" w:rsidR="00BC5063" w:rsidRPr="001C5319" w:rsidRDefault="00BC5063" w:rsidP="00BC5063">
      <w:pPr>
        <w:jc w:val="center"/>
        <w:rPr>
          <w:rFonts w:ascii="Times New Roman" w:hAnsi="Times New Roman"/>
          <w:color w:val="000000" w:themeColor="text1"/>
          <w:sz w:val="24"/>
          <w:szCs w:val="24"/>
          <w:lang w:eastAsia="hu-HU"/>
        </w:rPr>
      </w:pPr>
    </w:p>
    <w:p w14:paraId="03D4C632" w14:textId="2434E813" w:rsidR="00094B75" w:rsidRPr="00BD106F" w:rsidRDefault="00BC5063" w:rsidP="00BC5063">
      <w:pPr>
        <w:jc w:val="center"/>
        <w:rPr>
          <w:color w:val="000000" w:themeColor="text1"/>
          <w:sz w:val="20"/>
          <w:szCs w:val="20"/>
          <w:lang w:eastAsia="hu-HU"/>
        </w:rPr>
      </w:pPr>
      <w:r w:rsidRPr="00BD106F">
        <w:rPr>
          <w:color w:val="000000" w:themeColor="text1"/>
          <w:lang w:eastAsia="hu-HU"/>
        </w:rPr>
        <w:fldChar w:fldCharType="begin"/>
      </w:r>
      <w:r w:rsidRPr="00BD106F">
        <w:rPr>
          <w:color w:val="000000" w:themeColor="text1"/>
          <w:lang w:eastAsia="hu-HU"/>
        </w:rPr>
        <w:instrText xml:space="preserve"> LINK </w:instrText>
      </w:r>
      <w:r w:rsidR="004B6D6A" w:rsidRPr="00BD106F">
        <w:rPr>
          <w:color w:val="000000" w:themeColor="text1"/>
          <w:lang w:eastAsia="hu-HU"/>
        </w:rPr>
        <w:instrText xml:space="preserve">Excel.Sheet.8 "\\\\SRV03\\Dokumentumok\\Adoigazgatas\\dr. Tomasits Zsuzsanna\\2021\\diagramok beszámolóhoz.xls" 2021!S1O1:S9O4 </w:instrText>
      </w:r>
      <w:r w:rsidRPr="00BD106F">
        <w:rPr>
          <w:color w:val="000000" w:themeColor="text1"/>
          <w:lang w:eastAsia="hu-HU"/>
        </w:rPr>
        <w:instrText xml:space="preserve">\a \f 4 \h </w:instrText>
      </w:r>
      <w:r w:rsidR="00BD106F" w:rsidRPr="00BD106F">
        <w:rPr>
          <w:color w:val="000000" w:themeColor="text1"/>
          <w:lang w:eastAsia="hu-HU"/>
        </w:rPr>
        <w:instrText xml:space="preserve"> \* MERGEFORMAT </w:instrText>
      </w:r>
      <w:r w:rsidRPr="00BD106F">
        <w:rPr>
          <w:color w:val="000000" w:themeColor="text1"/>
          <w:lang w:eastAsia="hu-HU"/>
        </w:rPr>
        <w:fldChar w:fldCharType="separate"/>
      </w:r>
    </w:p>
    <w:tbl>
      <w:tblPr>
        <w:tblW w:w="6780" w:type="dxa"/>
        <w:tblCellMar>
          <w:left w:w="70" w:type="dxa"/>
          <w:right w:w="70" w:type="dxa"/>
        </w:tblCellMar>
        <w:tblLook w:val="04A0" w:firstRow="1" w:lastRow="0" w:firstColumn="1" w:lastColumn="0" w:noHBand="0" w:noVBand="1"/>
      </w:tblPr>
      <w:tblGrid>
        <w:gridCol w:w="2280"/>
        <w:gridCol w:w="1900"/>
        <w:gridCol w:w="1600"/>
        <w:gridCol w:w="1000"/>
      </w:tblGrid>
      <w:tr w:rsidR="001C5319" w:rsidRPr="00BD106F" w14:paraId="0F0CF7B3" w14:textId="77777777" w:rsidTr="001C5319">
        <w:trPr>
          <w:trHeight w:val="840"/>
        </w:trPr>
        <w:tc>
          <w:tcPr>
            <w:tcW w:w="228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4C42DE1" w14:textId="77777777" w:rsidR="00094B75" w:rsidRPr="00BD106F" w:rsidRDefault="00094B75" w:rsidP="001C5319">
            <w:r w:rsidRPr="00BD106F">
              <w:t>Adónem</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520CFAE" w14:textId="77777777" w:rsidR="00094B75" w:rsidRPr="00BD106F" w:rsidRDefault="00094B75" w:rsidP="001C5319">
            <w:r w:rsidRPr="00BD106F">
              <w:t>Terv 2021.</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6CC0FDE" w14:textId="77777777" w:rsidR="00094B75" w:rsidRPr="00BD106F" w:rsidRDefault="00094B75" w:rsidP="001C5319">
            <w:r w:rsidRPr="00BD106F">
              <w:t xml:space="preserve"> Befolyt 2021.06.30.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D898055" w14:textId="77777777" w:rsidR="00094B75" w:rsidRPr="00BD106F" w:rsidRDefault="00094B75" w:rsidP="001C5319">
            <w:r w:rsidRPr="00BD106F">
              <w:t xml:space="preserve"> Teljesítés tervhez </w:t>
            </w:r>
          </w:p>
        </w:tc>
      </w:tr>
      <w:tr w:rsidR="001C5319" w:rsidRPr="00BD106F" w14:paraId="6B1F53F8"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7F87580E" w14:textId="77777777" w:rsidR="00094B75" w:rsidRPr="00BD106F" w:rsidRDefault="00094B75" w:rsidP="001C5319">
            <w:r w:rsidRPr="00BD106F">
              <w:t>Építményadó</w:t>
            </w:r>
          </w:p>
        </w:tc>
        <w:tc>
          <w:tcPr>
            <w:tcW w:w="1900" w:type="dxa"/>
            <w:tcBorders>
              <w:top w:val="nil"/>
              <w:left w:val="nil"/>
              <w:bottom w:val="single" w:sz="4" w:space="0" w:color="auto"/>
              <w:right w:val="single" w:sz="4" w:space="0" w:color="auto"/>
            </w:tcBorders>
            <w:shd w:val="clear" w:color="auto" w:fill="auto"/>
            <w:noWrap/>
            <w:vAlign w:val="center"/>
            <w:hideMark/>
          </w:tcPr>
          <w:p w14:paraId="0649FC9D" w14:textId="1EE040FC" w:rsidR="00094B75" w:rsidRPr="00BD106F" w:rsidRDefault="00F36F63" w:rsidP="001C5319">
            <w:r w:rsidRPr="00BD106F">
              <w:t xml:space="preserve">                            </w:t>
            </w:r>
            <w:r w:rsidR="007F69D1" w:rsidRPr="00BD106F">
              <w:t xml:space="preserve">6.000.000 </w:t>
            </w:r>
          </w:p>
        </w:tc>
        <w:tc>
          <w:tcPr>
            <w:tcW w:w="1600" w:type="dxa"/>
            <w:tcBorders>
              <w:top w:val="nil"/>
              <w:left w:val="nil"/>
              <w:bottom w:val="single" w:sz="4" w:space="0" w:color="auto"/>
              <w:right w:val="single" w:sz="4" w:space="0" w:color="auto"/>
            </w:tcBorders>
            <w:shd w:val="clear" w:color="auto" w:fill="auto"/>
            <w:noWrap/>
            <w:vAlign w:val="center"/>
            <w:hideMark/>
          </w:tcPr>
          <w:p w14:paraId="5F6CB952" w14:textId="0533B035" w:rsidR="00094B75" w:rsidRPr="00BD106F" w:rsidRDefault="007F69D1" w:rsidP="001C5319">
            <w:r w:rsidRPr="00BD106F">
              <w:t>2.704.661</w:t>
            </w:r>
          </w:p>
        </w:tc>
        <w:tc>
          <w:tcPr>
            <w:tcW w:w="1000" w:type="dxa"/>
            <w:tcBorders>
              <w:top w:val="nil"/>
              <w:left w:val="nil"/>
              <w:bottom w:val="single" w:sz="4" w:space="0" w:color="auto"/>
              <w:right w:val="single" w:sz="4" w:space="0" w:color="auto"/>
            </w:tcBorders>
            <w:shd w:val="clear" w:color="auto" w:fill="auto"/>
            <w:noWrap/>
            <w:vAlign w:val="center"/>
            <w:hideMark/>
          </w:tcPr>
          <w:p w14:paraId="690E7805" w14:textId="7CF44984" w:rsidR="00094B75" w:rsidRPr="00BD106F" w:rsidRDefault="007F69D1" w:rsidP="001C5319">
            <w:r w:rsidRPr="00BD106F">
              <w:t xml:space="preserve">45 </w:t>
            </w:r>
            <w:r w:rsidR="00094B75" w:rsidRPr="00BD106F">
              <w:t>%</w:t>
            </w:r>
          </w:p>
        </w:tc>
      </w:tr>
      <w:tr w:rsidR="001C5319" w:rsidRPr="00BD106F" w14:paraId="60D800AF"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2BE55079" w14:textId="77777777" w:rsidR="00094B75" w:rsidRPr="00BD106F" w:rsidRDefault="00094B75" w:rsidP="001C5319">
            <w:r w:rsidRPr="00BD106F">
              <w:t>Idegenforgalmi adó</w:t>
            </w:r>
          </w:p>
        </w:tc>
        <w:tc>
          <w:tcPr>
            <w:tcW w:w="1900" w:type="dxa"/>
            <w:tcBorders>
              <w:top w:val="nil"/>
              <w:left w:val="nil"/>
              <w:bottom w:val="single" w:sz="4" w:space="0" w:color="auto"/>
              <w:right w:val="single" w:sz="4" w:space="0" w:color="auto"/>
            </w:tcBorders>
            <w:shd w:val="clear" w:color="auto" w:fill="auto"/>
            <w:noWrap/>
            <w:vAlign w:val="center"/>
            <w:hideMark/>
          </w:tcPr>
          <w:p w14:paraId="174D03B5" w14:textId="05B33CEF" w:rsidR="00094B75" w:rsidRPr="00BD106F" w:rsidRDefault="007F69D1" w:rsidP="001C5319">
            <w:r w:rsidRPr="00BD106F">
              <w:t>100.000</w:t>
            </w:r>
          </w:p>
        </w:tc>
        <w:tc>
          <w:tcPr>
            <w:tcW w:w="1600" w:type="dxa"/>
            <w:tcBorders>
              <w:top w:val="nil"/>
              <w:left w:val="nil"/>
              <w:bottom w:val="single" w:sz="4" w:space="0" w:color="auto"/>
              <w:right w:val="single" w:sz="4" w:space="0" w:color="auto"/>
            </w:tcBorders>
            <w:shd w:val="clear" w:color="auto" w:fill="auto"/>
            <w:noWrap/>
            <w:vAlign w:val="center"/>
            <w:hideMark/>
          </w:tcPr>
          <w:p w14:paraId="0093F0C1" w14:textId="1E161322" w:rsidR="00094B75" w:rsidRPr="00BD106F" w:rsidRDefault="007F69D1" w:rsidP="001C5319">
            <w:r w:rsidRPr="00BD106F">
              <w:t>0</w:t>
            </w:r>
          </w:p>
        </w:tc>
        <w:tc>
          <w:tcPr>
            <w:tcW w:w="1000" w:type="dxa"/>
            <w:tcBorders>
              <w:top w:val="nil"/>
              <w:left w:val="nil"/>
              <w:bottom w:val="single" w:sz="4" w:space="0" w:color="auto"/>
              <w:right w:val="single" w:sz="4" w:space="0" w:color="auto"/>
            </w:tcBorders>
            <w:shd w:val="clear" w:color="auto" w:fill="auto"/>
            <w:noWrap/>
            <w:vAlign w:val="center"/>
            <w:hideMark/>
          </w:tcPr>
          <w:p w14:paraId="4687BFDB" w14:textId="31B32C0E" w:rsidR="00094B75" w:rsidRPr="00BD106F" w:rsidRDefault="007F69D1" w:rsidP="001C5319">
            <w:r w:rsidRPr="00BD106F">
              <w:t>0</w:t>
            </w:r>
            <w:r w:rsidR="00094B75" w:rsidRPr="00BD106F">
              <w:t>%</w:t>
            </w:r>
          </w:p>
        </w:tc>
      </w:tr>
      <w:tr w:rsidR="001C5319" w:rsidRPr="00BD106F" w14:paraId="144F1504"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599F33DB" w14:textId="77777777" w:rsidR="00094B75" w:rsidRPr="00BD106F" w:rsidRDefault="00094B75" w:rsidP="001C5319">
            <w:r w:rsidRPr="00BD106F">
              <w:t>Iparűzési adó</w:t>
            </w:r>
          </w:p>
        </w:tc>
        <w:tc>
          <w:tcPr>
            <w:tcW w:w="1900" w:type="dxa"/>
            <w:tcBorders>
              <w:top w:val="nil"/>
              <w:left w:val="nil"/>
              <w:bottom w:val="single" w:sz="4" w:space="0" w:color="auto"/>
              <w:right w:val="single" w:sz="4" w:space="0" w:color="auto"/>
            </w:tcBorders>
            <w:shd w:val="clear" w:color="auto" w:fill="auto"/>
            <w:noWrap/>
            <w:vAlign w:val="center"/>
            <w:hideMark/>
          </w:tcPr>
          <w:p w14:paraId="4B95432E" w14:textId="0632DC21" w:rsidR="00094B75" w:rsidRPr="00BD106F" w:rsidRDefault="007F69D1" w:rsidP="001C5319">
            <w:r w:rsidRPr="00BD106F">
              <w:t>90.000.000 *</w:t>
            </w:r>
          </w:p>
        </w:tc>
        <w:tc>
          <w:tcPr>
            <w:tcW w:w="1600" w:type="dxa"/>
            <w:tcBorders>
              <w:top w:val="nil"/>
              <w:left w:val="nil"/>
              <w:bottom w:val="single" w:sz="4" w:space="0" w:color="auto"/>
              <w:right w:val="single" w:sz="4" w:space="0" w:color="auto"/>
            </w:tcBorders>
            <w:shd w:val="clear" w:color="auto" w:fill="auto"/>
            <w:noWrap/>
            <w:vAlign w:val="center"/>
            <w:hideMark/>
          </w:tcPr>
          <w:p w14:paraId="383F27C2" w14:textId="1B31A823" w:rsidR="00094B75" w:rsidRPr="00BD106F" w:rsidRDefault="007F69D1" w:rsidP="001C5319">
            <w:r w:rsidRPr="00BD106F">
              <w:t>55.950.86</w:t>
            </w:r>
            <w:r w:rsidR="00094B75" w:rsidRPr="00BD106F">
              <w:t>9</w:t>
            </w:r>
          </w:p>
        </w:tc>
        <w:tc>
          <w:tcPr>
            <w:tcW w:w="1000" w:type="dxa"/>
            <w:tcBorders>
              <w:top w:val="nil"/>
              <w:left w:val="nil"/>
              <w:bottom w:val="single" w:sz="4" w:space="0" w:color="auto"/>
              <w:right w:val="single" w:sz="4" w:space="0" w:color="auto"/>
            </w:tcBorders>
            <w:shd w:val="clear" w:color="auto" w:fill="auto"/>
            <w:noWrap/>
            <w:vAlign w:val="center"/>
            <w:hideMark/>
          </w:tcPr>
          <w:p w14:paraId="69E51477" w14:textId="4CDDCF52" w:rsidR="00094B75" w:rsidRPr="00BD106F" w:rsidRDefault="00467BC2" w:rsidP="001C5319">
            <w:r w:rsidRPr="00BD106F">
              <w:t>53.36</w:t>
            </w:r>
            <w:r w:rsidR="00094B75" w:rsidRPr="00BD106F">
              <w:t>%</w:t>
            </w:r>
          </w:p>
        </w:tc>
      </w:tr>
      <w:tr w:rsidR="001C5319" w:rsidRPr="00BD106F" w14:paraId="0A24994A"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38E5F0A1" w14:textId="014502A2" w:rsidR="00094B75" w:rsidRPr="00BD106F" w:rsidRDefault="00467BC2" w:rsidP="001C5319">
            <w:r w:rsidRPr="00BD106F">
              <w:t xml:space="preserve">Kommunális </w:t>
            </w:r>
            <w:r w:rsidR="00094B75" w:rsidRPr="00BD106F">
              <w:t>adó</w:t>
            </w:r>
          </w:p>
        </w:tc>
        <w:tc>
          <w:tcPr>
            <w:tcW w:w="1900" w:type="dxa"/>
            <w:tcBorders>
              <w:top w:val="nil"/>
              <w:left w:val="nil"/>
              <w:bottom w:val="single" w:sz="4" w:space="0" w:color="auto"/>
              <w:right w:val="single" w:sz="4" w:space="0" w:color="auto"/>
            </w:tcBorders>
            <w:shd w:val="clear" w:color="auto" w:fill="auto"/>
            <w:noWrap/>
            <w:vAlign w:val="center"/>
            <w:hideMark/>
          </w:tcPr>
          <w:p w14:paraId="684D107A" w14:textId="7FAE5CF1" w:rsidR="00094B75" w:rsidRPr="00BD106F" w:rsidRDefault="00467BC2" w:rsidP="001C5319">
            <w:r w:rsidRPr="00BD106F">
              <w:t>17.500.000</w:t>
            </w:r>
          </w:p>
        </w:tc>
        <w:tc>
          <w:tcPr>
            <w:tcW w:w="1600" w:type="dxa"/>
            <w:tcBorders>
              <w:top w:val="nil"/>
              <w:left w:val="nil"/>
              <w:bottom w:val="single" w:sz="4" w:space="0" w:color="auto"/>
              <w:right w:val="single" w:sz="4" w:space="0" w:color="auto"/>
            </w:tcBorders>
            <w:shd w:val="clear" w:color="auto" w:fill="auto"/>
            <w:noWrap/>
            <w:vAlign w:val="center"/>
            <w:hideMark/>
          </w:tcPr>
          <w:p w14:paraId="6F7DF6CD" w14:textId="60802930" w:rsidR="00094B75" w:rsidRPr="00BD106F" w:rsidRDefault="00467BC2" w:rsidP="001C5319">
            <w:r w:rsidRPr="00BD106F">
              <w:t>8.635.188</w:t>
            </w:r>
          </w:p>
        </w:tc>
        <w:tc>
          <w:tcPr>
            <w:tcW w:w="1000" w:type="dxa"/>
            <w:tcBorders>
              <w:top w:val="nil"/>
              <w:left w:val="nil"/>
              <w:bottom w:val="single" w:sz="4" w:space="0" w:color="auto"/>
              <w:right w:val="single" w:sz="4" w:space="0" w:color="auto"/>
            </w:tcBorders>
            <w:shd w:val="clear" w:color="auto" w:fill="auto"/>
            <w:noWrap/>
            <w:vAlign w:val="center"/>
            <w:hideMark/>
          </w:tcPr>
          <w:p w14:paraId="4E72188C" w14:textId="5DD0A195" w:rsidR="00094B75" w:rsidRPr="00BD106F" w:rsidRDefault="00F36F63" w:rsidP="001C5319">
            <w:r w:rsidRPr="00BD106F">
              <w:t>49,34</w:t>
            </w:r>
            <w:r w:rsidR="00094B75" w:rsidRPr="00BD106F">
              <w:t>%</w:t>
            </w:r>
          </w:p>
        </w:tc>
      </w:tr>
      <w:tr w:rsidR="001C5319" w:rsidRPr="00BD106F" w14:paraId="304B9301"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39196AF9" w14:textId="77777777" w:rsidR="00094B75" w:rsidRPr="00BD106F" w:rsidRDefault="00094B75" w:rsidP="001C5319">
            <w:r w:rsidRPr="00BD106F">
              <w:t>Késedelmi pótlék</w:t>
            </w:r>
          </w:p>
        </w:tc>
        <w:tc>
          <w:tcPr>
            <w:tcW w:w="1900" w:type="dxa"/>
            <w:tcBorders>
              <w:top w:val="nil"/>
              <w:left w:val="nil"/>
              <w:bottom w:val="single" w:sz="4" w:space="0" w:color="auto"/>
              <w:right w:val="single" w:sz="4" w:space="0" w:color="auto"/>
            </w:tcBorders>
            <w:shd w:val="clear" w:color="auto" w:fill="auto"/>
            <w:noWrap/>
            <w:vAlign w:val="center"/>
            <w:hideMark/>
          </w:tcPr>
          <w:p w14:paraId="1F29AA0D" w14:textId="7C529B8F" w:rsidR="00094B75" w:rsidRPr="00BD106F" w:rsidRDefault="00467BC2" w:rsidP="001C5319">
            <w:r w:rsidRPr="00BD106F">
              <w:t>1 000</w:t>
            </w:r>
            <w:r w:rsidR="00094B75" w:rsidRPr="00BD106F">
              <w:t xml:space="preserve"> 000</w:t>
            </w:r>
          </w:p>
        </w:tc>
        <w:tc>
          <w:tcPr>
            <w:tcW w:w="1600" w:type="dxa"/>
            <w:tcBorders>
              <w:top w:val="nil"/>
              <w:left w:val="nil"/>
              <w:bottom w:val="single" w:sz="4" w:space="0" w:color="auto"/>
              <w:right w:val="single" w:sz="4" w:space="0" w:color="auto"/>
            </w:tcBorders>
            <w:shd w:val="clear" w:color="auto" w:fill="auto"/>
            <w:noWrap/>
            <w:vAlign w:val="center"/>
            <w:hideMark/>
          </w:tcPr>
          <w:p w14:paraId="1C6D752A" w14:textId="013DBA52" w:rsidR="00094B75" w:rsidRPr="00BD106F" w:rsidRDefault="00467BC2" w:rsidP="001C5319">
            <w:r w:rsidRPr="00BD106F">
              <w:t>712.635</w:t>
            </w:r>
          </w:p>
        </w:tc>
        <w:tc>
          <w:tcPr>
            <w:tcW w:w="1000" w:type="dxa"/>
            <w:tcBorders>
              <w:top w:val="nil"/>
              <w:left w:val="nil"/>
              <w:bottom w:val="single" w:sz="4" w:space="0" w:color="auto"/>
              <w:right w:val="single" w:sz="4" w:space="0" w:color="auto"/>
            </w:tcBorders>
            <w:shd w:val="clear" w:color="auto" w:fill="auto"/>
            <w:noWrap/>
            <w:vAlign w:val="center"/>
            <w:hideMark/>
          </w:tcPr>
          <w:p w14:paraId="2E3487D4" w14:textId="0EA0B9F2" w:rsidR="00094B75" w:rsidRPr="00BD106F" w:rsidRDefault="00F36F63" w:rsidP="001C5319">
            <w:r w:rsidRPr="00BD106F">
              <w:t>71,26</w:t>
            </w:r>
            <w:r w:rsidR="00094B75" w:rsidRPr="00BD106F">
              <w:t>%</w:t>
            </w:r>
          </w:p>
        </w:tc>
      </w:tr>
      <w:tr w:rsidR="001C5319" w:rsidRPr="00BD106F" w14:paraId="1F0835AE"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7C469F85" w14:textId="77777777" w:rsidR="00094B75" w:rsidRPr="00BD106F" w:rsidRDefault="00094B75" w:rsidP="001C5319">
            <w:r w:rsidRPr="00BD106F">
              <w:t>Talajterhelési díj</w:t>
            </w:r>
          </w:p>
        </w:tc>
        <w:tc>
          <w:tcPr>
            <w:tcW w:w="1900" w:type="dxa"/>
            <w:tcBorders>
              <w:top w:val="nil"/>
              <w:left w:val="nil"/>
              <w:bottom w:val="single" w:sz="4" w:space="0" w:color="auto"/>
              <w:right w:val="single" w:sz="4" w:space="0" w:color="auto"/>
            </w:tcBorders>
            <w:shd w:val="clear" w:color="auto" w:fill="auto"/>
            <w:noWrap/>
            <w:vAlign w:val="center"/>
            <w:hideMark/>
          </w:tcPr>
          <w:p w14:paraId="3C62ABD3" w14:textId="0FC41530" w:rsidR="00094B75" w:rsidRPr="00BD106F" w:rsidRDefault="00F36F63" w:rsidP="001C5319">
            <w:r w:rsidRPr="00BD106F">
              <w:t>100.000</w:t>
            </w:r>
          </w:p>
        </w:tc>
        <w:tc>
          <w:tcPr>
            <w:tcW w:w="1600" w:type="dxa"/>
            <w:tcBorders>
              <w:top w:val="nil"/>
              <w:left w:val="nil"/>
              <w:bottom w:val="single" w:sz="4" w:space="0" w:color="auto"/>
              <w:right w:val="single" w:sz="4" w:space="0" w:color="auto"/>
            </w:tcBorders>
            <w:shd w:val="clear" w:color="auto" w:fill="auto"/>
            <w:noWrap/>
            <w:vAlign w:val="center"/>
            <w:hideMark/>
          </w:tcPr>
          <w:p w14:paraId="306696E5" w14:textId="4A56D3B0" w:rsidR="00094B75" w:rsidRPr="00BD106F" w:rsidRDefault="00F36F63" w:rsidP="001C5319">
            <w:r w:rsidRPr="00BD106F">
              <w:t>210.600</w:t>
            </w:r>
          </w:p>
        </w:tc>
        <w:tc>
          <w:tcPr>
            <w:tcW w:w="1000" w:type="dxa"/>
            <w:tcBorders>
              <w:top w:val="nil"/>
              <w:left w:val="nil"/>
              <w:bottom w:val="single" w:sz="4" w:space="0" w:color="auto"/>
              <w:right w:val="single" w:sz="4" w:space="0" w:color="auto"/>
            </w:tcBorders>
            <w:shd w:val="clear" w:color="auto" w:fill="auto"/>
            <w:noWrap/>
            <w:vAlign w:val="center"/>
            <w:hideMark/>
          </w:tcPr>
          <w:p w14:paraId="6AB78F7A" w14:textId="267066D4" w:rsidR="00094B75" w:rsidRPr="00BD106F" w:rsidRDefault="00F36F63" w:rsidP="001C5319">
            <w:r w:rsidRPr="00BD106F">
              <w:t xml:space="preserve">        210,6 </w:t>
            </w:r>
            <w:r w:rsidR="00094B75" w:rsidRPr="00BD106F">
              <w:t>%</w:t>
            </w:r>
          </w:p>
        </w:tc>
      </w:tr>
      <w:tr w:rsidR="001C5319" w:rsidRPr="00BD106F" w14:paraId="0F9D155C" w14:textId="77777777" w:rsidTr="001C5319">
        <w:trPr>
          <w:trHeight w:val="255"/>
        </w:trPr>
        <w:tc>
          <w:tcPr>
            <w:tcW w:w="2280" w:type="dxa"/>
            <w:tcBorders>
              <w:top w:val="nil"/>
              <w:left w:val="single" w:sz="4" w:space="0" w:color="auto"/>
              <w:bottom w:val="single" w:sz="4" w:space="0" w:color="auto"/>
              <w:right w:val="single" w:sz="4" w:space="0" w:color="auto"/>
            </w:tcBorders>
            <w:shd w:val="clear" w:color="000000" w:fill="E2EFDA"/>
            <w:noWrap/>
            <w:vAlign w:val="center"/>
            <w:hideMark/>
          </w:tcPr>
          <w:p w14:paraId="19001F71" w14:textId="77777777" w:rsidR="00094B75" w:rsidRPr="00BD106F" w:rsidRDefault="00094B75" w:rsidP="001C5319">
            <w:r w:rsidRPr="00BD106F">
              <w:t>Összesen:</w:t>
            </w:r>
          </w:p>
        </w:tc>
        <w:tc>
          <w:tcPr>
            <w:tcW w:w="1900" w:type="dxa"/>
            <w:tcBorders>
              <w:top w:val="nil"/>
              <w:left w:val="nil"/>
              <w:bottom w:val="single" w:sz="4" w:space="0" w:color="auto"/>
              <w:right w:val="single" w:sz="4" w:space="0" w:color="auto"/>
            </w:tcBorders>
            <w:shd w:val="clear" w:color="auto" w:fill="auto"/>
            <w:noWrap/>
            <w:vAlign w:val="center"/>
            <w:hideMark/>
          </w:tcPr>
          <w:p w14:paraId="34C2F39D" w14:textId="3583358E" w:rsidR="00094B75" w:rsidRPr="00BD106F" w:rsidRDefault="00F36F63" w:rsidP="001C5319">
            <w:r w:rsidRPr="00BD106F">
              <w:t xml:space="preserve">                        129.537.084</w:t>
            </w:r>
          </w:p>
        </w:tc>
        <w:tc>
          <w:tcPr>
            <w:tcW w:w="1600" w:type="dxa"/>
            <w:tcBorders>
              <w:top w:val="nil"/>
              <w:left w:val="nil"/>
              <w:bottom w:val="single" w:sz="4" w:space="0" w:color="auto"/>
              <w:right w:val="single" w:sz="4" w:space="0" w:color="auto"/>
            </w:tcBorders>
            <w:shd w:val="clear" w:color="auto" w:fill="auto"/>
            <w:noWrap/>
            <w:vAlign w:val="center"/>
            <w:hideMark/>
          </w:tcPr>
          <w:p w14:paraId="3608A567" w14:textId="46722846" w:rsidR="00094B75" w:rsidRPr="00BD106F" w:rsidRDefault="00F36F63" w:rsidP="001C5319">
            <w:r w:rsidRPr="00BD106F">
              <w:t>68</w:t>
            </w:r>
            <w:r w:rsidR="00377894">
              <w:t>.</w:t>
            </w:r>
            <w:r w:rsidRPr="00BD106F">
              <w:t>213</w:t>
            </w:r>
            <w:r w:rsidR="00377894">
              <w:t>.</w:t>
            </w:r>
            <w:r w:rsidRPr="00BD106F">
              <w:t>353</w:t>
            </w:r>
          </w:p>
        </w:tc>
        <w:tc>
          <w:tcPr>
            <w:tcW w:w="1000" w:type="dxa"/>
            <w:tcBorders>
              <w:top w:val="nil"/>
              <w:left w:val="nil"/>
              <w:bottom w:val="single" w:sz="4" w:space="0" w:color="auto"/>
              <w:right w:val="single" w:sz="4" w:space="0" w:color="auto"/>
            </w:tcBorders>
            <w:shd w:val="clear" w:color="auto" w:fill="auto"/>
            <w:noWrap/>
            <w:vAlign w:val="center"/>
            <w:hideMark/>
          </w:tcPr>
          <w:p w14:paraId="04BE3252" w14:textId="5B435DC8" w:rsidR="00094B75" w:rsidRPr="00BD106F" w:rsidRDefault="00510B32" w:rsidP="001C5319">
            <w:r w:rsidRPr="00BD106F">
              <w:t>52,65%</w:t>
            </w:r>
          </w:p>
        </w:tc>
      </w:tr>
    </w:tbl>
    <w:p w14:paraId="4A34B965" w14:textId="06D65AF0" w:rsidR="00094B75" w:rsidRPr="00BD106F" w:rsidRDefault="00BC5063" w:rsidP="00510B32">
      <w:pPr>
        <w:jc w:val="center"/>
        <w:rPr>
          <w:rFonts w:ascii="Times New Roman" w:hAnsi="Times New Roman"/>
          <w:color w:val="000000" w:themeColor="text1"/>
          <w:sz w:val="24"/>
          <w:szCs w:val="24"/>
          <w:lang w:eastAsia="hu-HU"/>
        </w:rPr>
      </w:pPr>
      <w:r w:rsidRPr="00BD106F">
        <w:rPr>
          <w:rFonts w:ascii="Times New Roman" w:hAnsi="Times New Roman"/>
          <w:color w:val="000000" w:themeColor="text1"/>
          <w:sz w:val="24"/>
          <w:szCs w:val="24"/>
          <w:lang w:eastAsia="hu-HU"/>
        </w:rPr>
        <w:fldChar w:fldCharType="end"/>
      </w:r>
    </w:p>
    <w:p w14:paraId="63B93F77" w14:textId="4271A0BE" w:rsidR="00094B75" w:rsidRDefault="007F69D1" w:rsidP="007F69D1">
      <w:pPr>
        <w:jc w:val="both"/>
        <w:rPr>
          <w:rFonts w:ascii="Times New Roman" w:hAnsi="Times New Roman"/>
          <w:sz w:val="20"/>
          <w:szCs w:val="20"/>
          <w:lang w:eastAsia="hu-HU"/>
        </w:rPr>
      </w:pPr>
      <w:r w:rsidRPr="00BD106F">
        <w:rPr>
          <w:rFonts w:ascii="Times New Roman" w:hAnsi="Times New Roman"/>
          <w:color w:val="000000" w:themeColor="text1"/>
          <w:sz w:val="20"/>
          <w:szCs w:val="20"/>
          <w:lang w:eastAsia="hu-HU"/>
        </w:rPr>
        <w:t>*Módosításra került később: 104.837.084 Ft-ra</w:t>
      </w:r>
      <w:r w:rsidR="00467BC2" w:rsidRPr="00BD106F">
        <w:rPr>
          <w:rFonts w:ascii="Times New Roman" w:hAnsi="Times New Roman"/>
          <w:color w:val="000000" w:themeColor="text1"/>
          <w:sz w:val="20"/>
          <w:szCs w:val="20"/>
          <w:lang w:eastAsia="hu-HU"/>
        </w:rPr>
        <w:t>, a százalékos arány eszerint került kiszámításra</w:t>
      </w:r>
    </w:p>
    <w:p w14:paraId="1C305FC2" w14:textId="77777777" w:rsidR="00510B32" w:rsidRPr="007F69D1" w:rsidRDefault="00510B32" w:rsidP="007F69D1">
      <w:pPr>
        <w:jc w:val="both"/>
        <w:rPr>
          <w:rFonts w:ascii="Times New Roman" w:hAnsi="Times New Roman"/>
          <w:sz w:val="20"/>
          <w:szCs w:val="20"/>
          <w:lang w:eastAsia="hu-HU"/>
        </w:rPr>
      </w:pPr>
    </w:p>
    <w:p w14:paraId="176EC852" w14:textId="5644CBDB" w:rsidR="00245E30" w:rsidRDefault="00F75463" w:rsidP="00DA6661">
      <w:pPr>
        <w:jc w:val="both"/>
        <w:rPr>
          <w:rFonts w:ascii="Times New Roman" w:hAnsi="Times New Roman"/>
          <w:sz w:val="24"/>
          <w:szCs w:val="24"/>
          <w:lang w:eastAsia="hu-HU"/>
        </w:rPr>
      </w:pPr>
      <w:r w:rsidRPr="00F75463">
        <w:rPr>
          <w:rFonts w:ascii="Times New Roman" w:hAnsi="Times New Roman"/>
          <w:sz w:val="24"/>
          <w:szCs w:val="24"/>
          <w:lang w:eastAsia="hu-HU"/>
        </w:rPr>
        <w:t xml:space="preserve">A fenti információs táblából látható, hogy a központi intézkedések miatt a 2020. évi eredeti előirányzattal szemben </w:t>
      </w:r>
      <w:r w:rsidR="00510B32">
        <w:rPr>
          <w:rFonts w:ascii="Times New Roman" w:hAnsi="Times New Roman"/>
          <w:sz w:val="24"/>
          <w:szCs w:val="24"/>
          <w:lang w:eastAsia="hu-HU"/>
        </w:rPr>
        <w:t>kb.</w:t>
      </w:r>
      <w:r w:rsidRPr="00F75463">
        <w:rPr>
          <w:rFonts w:ascii="Times New Roman" w:hAnsi="Times New Roman"/>
          <w:sz w:val="24"/>
          <w:szCs w:val="24"/>
          <w:lang w:eastAsia="hu-HU"/>
        </w:rPr>
        <w:t xml:space="preserve"> 30%-kal, azaz csaknem </w:t>
      </w:r>
      <w:r w:rsidR="00510B32">
        <w:rPr>
          <w:rFonts w:ascii="Times New Roman" w:hAnsi="Times New Roman"/>
          <w:sz w:val="24"/>
          <w:szCs w:val="24"/>
          <w:lang w:eastAsia="hu-HU"/>
        </w:rPr>
        <w:t>58 mi</w:t>
      </w:r>
      <w:r w:rsidRPr="00F75463">
        <w:rPr>
          <w:rFonts w:ascii="Times New Roman" w:hAnsi="Times New Roman"/>
          <w:sz w:val="24"/>
          <w:szCs w:val="24"/>
          <w:lang w:eastAsia="hu-HU"/>
        </w:rPr>
        <w:t>llió</w:t>
      </w:r>
      <w:r w:rsidR="00510B32">
        <w:rPr>
          <w:rFonts w:ascii="Times New Roman" w:hAnsi="Times New Roman"/>
          <w:sz w:val="24"/>
          <w:szCs w:val="24"/>
          <w:lang w:eastAsia="hu-HU"/>
        </w:rPr>
        <w:t xml:space="preserve"> 500 ezer</w:t>
      </w:r>
      <w:r w:rsidRPr="00F75463">
        <w:rPr>
          <w:rFonts w:ascii="Times New Roman" w:hAnsi="Times New Roman"/>
          <w:sz w:val="24"/>
          <w:szCs w:val="24"/>
          <w:lang w:eastAsia="hu-HU"/>
        </w:rPr>
        <w:t xml:space="preserve"> forinttal kevesebb bevétellel számol a</w:t>
      </w:r>
      <w:r w:rsidR="00510B32">
        <w:rPr>
          <w:rFonts w:ascii="Times New Roman" w:hAnsi="Times New Roman"/>
          <w:sz w:val="24"/>
          <w:szCs w:val="24"/>
          <w:lang w:eastAsia="hu-HU"/>
        </w:rPr>
        <w:t xml:space="preserve">z </w:t>
      </w:r>
      <w:r w:rsidRPr="00F75463">
        <w:rPr>
          <w:rFonts w:ascii="Times New Roman" w:hAnsi="Times New Roman"/>
          <w:sz w:val="24"/>
          <w:szCs w:val="24"/>
          <w:lang w:eastAsia="hu-HU"/>
        </w:rPr>
        <w:t xml:space="preserve">önkormányzat, a korábbi évhez képest. Az összköltségvetés szempontjából a helyi adóbevételek a költségvetésben vállalt feladatok végrehajtását </w:t>
      </w:r>
      <w:r w:rsidR="00510B32">
        <w:rPr>
          <w:rFonts w:ascii="Times New Roman" w:hAnsi="Times New Roman"/>
          <w:sz w:val="24"/>
          <w:szCs w:val="24"/>
          <w:lang w:eastAsia="hu-HU"/>
        </w:rPr>
        <w:t xml:space="preserve">így jóval kisebb mértékben finanszírozzák. </w:t>
      </w:r>
      <w:r>
        <w:rPr>
          <w:rFonts w:ascii="Times New Roman" w:hAnsi="Times New Roman"/>
          <w:sz w:val="24"/>
          <w:szCs w:val="24"/>
          <w:lang w:eastAsia="hu-HU"/>
        </w:rPr>
        <w:t xml:space="preserve"> </w:t>
      </w:r>
      <w:r w:rsidR="00FE70D3">
        <w:rPr>
          <w:rFonts w:ascii="Times New Roman" w:hAnsi="Times New Roman"/>
          <w:sz w:val="24"/>
          <w:szCs w:val="24"/>
          <w:lang w:eastAsia="hu-HU"/>
        </w:rPr>
        <w:t>A teljes gépjárműadó és idegenforgalmi adó nélkülözése, a vállalkozások gazdálkodásának vissza esése pandémia időszakában, jelentős helyi adó bevételek kiesését irányozta elő</w:t>
      </w:r>
      <w:r w:rsidR="001E790E">
        <w:rPr>
          <w:rFonts w:ascii="Times New Roman" w:hAnsi="Times New Roman"/>
          <w:sz w:val="24"/>
          <w:szCs w:val="24"/>
          <w:lang w:eastAsia="hu-HU"/>
        </w:rPr>
        <w:t>.</w:t>
      </w:r>
    </w:p>
    <w:p w14:paraId="284D7C88" w14:textId="3FAF3D6E" w:rsidR="00BB6FE9" w:rsidRDefault="00BB6FE9" w:rsidP="00DA6661">
      <w:pPr>
        <w:jc w:val="both"/>
        <w:rPr>
          <w:rFonts w:ascii="Times New Roman" w:hAnsi="Times New Roman"/>
          <w:sz w:val="24"/>
          <w:szCs w:val="24"/>
          <w:lang w:eastAsia="hu-HU"/>
        </w:rPr>
      </w:pPr>
    </w:p>
    <w:p w14:paraId="40D47E80" w14:textId="77777777" w:rsidR="00BB6FE9" w:rsidRDefault="00BB6FE9" w:rsidP="00DA6661">
      <w:pPr>
        <w:jc w:val="both"/>
        <w:rPr>
          <w:rFonts w:ascii="Times New Roman" w:hAnsi="Times New Roman"/>
          <w:sz w:val="24"/>
          <w:szCs w:val="24"/>
          <w:lang w:eastAsia="hu-HU"/>
        </w:rPr>
      </w:pPr>
    </w:p>
    <w:p w14:paraId="227FDB68" w14:textId="77777777" w:rsidR="001E790E" w:rsidRDefault="001E790E" w:rsidP="00DA6661">
      <w:pPr>
        <w:jc w:val="both"/>
        <w:rPr>
          <w:rFonts w:ascii="Times New Roman" w:hAnsi="Times New Roman"/>
          <w:sz w:val="24"/>
          <w:szCs w:val="24"/>
          <w:lang w:eastAsia="hu-HU"/>
        </w:rPr>
      </w:pPr>
    </w:p>
    <w:p w14:paraId="62F14774" w14:textId="17E14D69" w:rsidR="00736113" w:rsidRPr="00BB6FE9" w:rsidRDefault="00736113" w:rsidP="001E790E">
      <w:pPr>
        <w:pStyle w:val="Cmsor2"/>
        <w:rPr>
          <w:color w:val="auto"/>
          <w:lang w:eastAsia="hu-HU"/>
        </w:rPr>
      </w:pPr>
      <w:r w:rsidRPr="00BB6FE9">
        <w:rPr>
          <w:color w:val="auto"/>
          <w:lang w:eastAsia="hu-HU"/>
        </w:rPr>
        <w:lastRenderedPageBreak/>
        <w:t>Az adóhatósági munka</w:t>
      </w:r>
    </w:p>
    <w:p w14:paraId="5D4F21A7" w14:textId="77777777" w:rsidR="00E416CD" w:rsidRDefault="00E416CD" w:rsidP="004A51A8">
      <w:pPr>
        <w:ind w:left="720"/>
        <w:jc w:val="both"/>
        <w:rPr>
          <w:rFonts w:ascii="Times New Roman" w:hAnsi="Times New Roman"/>
          <w:b/>
          <w:sz w:val="24"/>
          <w:szCs w:val="24"/>
          <w:lang w:eastAsia="hu-HU"/>
        </w:rPr>
      </w:pPr>
    </w:p>
    <w:p w14:paraId="3FCAEED1" w14:textId="77777777" w:rsidR="00E416CD" w:rsidRDefault="000F56D1" w:rsidP="004A51A8">
      <w:pPr>
        <w:numPr>
          <w:ilvl w:val="0"/>
          <w:numId w:val="17"/>
        </w:numPr>
        <w:jc w:val="both"/>
        <w:rPr>
          <w:rFonts w:ascii="Times New Roman" w:hAnsi="Times New Roman"/>
          <w:b/>
          <w:i/>
          <w:sz w:val="24"/>
          <w:szCs w:val="24"/>
          <w:u w:val="single"/>
          <w:lang w:eastAsia="hu-HU"/>
        </w:rPr>
      </w:pPr>
      <w:r>
        <w:rPr>
          <w:rFonts w:ascii="Times New Roman" w:hAnsi="Times New Roman"/>
          <w:b/>
          <w:i/>
          <w:sz w:val="24"/>
          <w:szCs w:val="24"/>
          <w:u w:val="single"/>
          <w:lang w:eastAsia="hu-HU"/>
        </w:rPr>
        <w:t>Hatósági ellenőrzés</w:t>
      </w:r>
    </w:p>
    <w:p w14:paraId="67389806" w14:textId="77777777" w:rsidR="000F56D1" w:rsidRDefault="000F56D1" w:rsidP="004A51A8">
      <w:pPr>
        <w:ind w:left="720"/>
        <w:jc w:val="both"/>
        <w:rPr>
          <w:rFonts w:ascii="Times New Roman" w:hAnsi="Times New Roman"/>
          <w:b/>
          <w:i/>
          <w:sz w:val="24"/>
          <w:szCs w:val="24"/>
          <w:u w:val="single"/>
          <w:lang w:eastAsia="hu-HU"/>
        </w:rPr>
      </w:pPr>
    </w:p>
    <w:p w14:paraId="012CFEB1" w14:textId="1966CB1C" w:rsidR="000F56D1" w:rsidRPr="000F56D1" w:rsidRDefault="009D2974" w:rsidP="004A51A8">
      <w:pPr>
        <w:tabs>
          <w:tab w:val="left" w:pos="0"/>
        </w:tabs>
        <w:ind w:firstLine="709"/>
        <w:jc w:val="both"/>
        <w:rPr>
          <w:rFonts w:ascii="Times New Roman" w:hAnsi="Times New Roman"/>
          <w:sz w:val="24"/>
          <w:szCs w:val="24"/>
        </w:rPr>
      </w:pPr>
      <w:r>
        <w:rPr>
          <w:rFonts w:ascii="Times New Roman" w:hAnsi="Times New Roman"/>
          <w:sz w:val="24"/>
          <w:szCs w:val="24"/>
        </w:rPr>
        <w:t xml:space="preserve">A helyi </w:t>
      </w:r>
      <w:r w:rsidR="000F56D1" w:rsidRPr="000F56D1">
        <w:rPr>
          <w:rFonts w:ascii="Times New Roman" w:hAnsi="Times New Roman"/>
          <w:sz w:val="24"/>
          <w:szCs w:val="24"/>
        </w:rPr>
        <w:t>adóhatóság adóztatási tevékenységének egyik része az ellenőrzés, mely alatt általánosságban valamely cél elvárásoknak megfelelő megvalósítása érdekében végzett ténymegállapító, követelményhez viszonyító, értékelő és javaslattevő tevékenységet értünk. Az ellenőrzés elsődleges célja az adózással kapcsolatos jogszabályokban előírt kötelezettségek betartásának a vizsgálata, az adóbevétel megrövidítésének, az adó-visszaigénylés jogosulatlan igénybevételének megakadályozása, a helyi adózási morál javítása. Az ellenőrzés rendjét, az adózók és az adóhatóság jogait és kötelezettségeit az Art. rendelkezései határozzák meg.</w:t>
      </w:r>
    </w:p>
    <w:p w14:paraId="7074CA11" w14:textId="178AA061" w:rsidR="000F56D1" w:rsidRPr="000F56D1" w:rsidRDefault="004F0C12" w:rsidP="004A51A8">
      <w:pPr>
        <w:tabs>
          <w:tab w:val="left" w:pos="709"/>
        </w:tabs>
        <w:jc w:val="both"/>
        <w:rPr>
          <w:rFonts w:ascii="Times New Roman" w:hAnsi="Times New Roman"/>
          <w:sz w:val="24"/>
          <w:szCs w:val="24"/>
        </w:rPr>
      </w:pPr>
      <w:r>
        <w:rPr>
          <w:rFonts w:ascii="Times New Roman" w:hAnsi="Times New Roman"/>
          <w:sz w:val="24"/>
          <w:szCs w:val="24"/>
        </w:rPr>
        <w:tab/>
      </w:r>
    </w:p>
    <w:p w14:paraId="4B78E935" w14:textId="77777777" w:rsidR="000F56D1" w:rsidRP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Az önkormányzati adóhatóság ellenőrzése kiterjedhet:</w:t>
      </w:r>
    </w:p>
    <w:p w14:paraId="789779FB" w14:textId="77777777" w:rsidR="000F56D1" w:rsidRPr="000F56D1" w:rsidRDefault="000F56D1" w:rsidP="004A51A8">
      <w:pPr>
        <w:numPr>
          <w:ilvl w:val="0"/>
          <w:numId w:val="19"/>
        </w:numPr>
        <w:tabs>
          <w:tab w:val="left" w:pos="709"/>
        </w:tabs>
        <w:jc w:val="both"/>
        <w:rPr>
          <w:rFonts w:ascii="Times New Roman" w:hAnsi="Times New Roman"/>
          <w:sz w:val="24"/>
          <w:szCs w:val="24"/>
        </w:rPr>
      </w:pPr>
      <w:r w:rsidRPr="000F56D1">
        <w:rPr>
          <w:rFonts w:ascii="Times New Roman" w:hAnsi="Times New Roman"/>
          <w:sz w:val="24"/>
          <w:szCs w:val="24"/>
        </w:rPr>
        <w:t>a bevallások utólagos vizsgálatára,</w:t>
      </w:r>
    </w:p>
    <w:p w14:paraId="662F8951" w14:textId="77777777" w:rsidR="000F56D1" w:rsidRPr="000F56D1" w:rsidRDefault="000F56D1" w:rsidP="004A51A8">
      <w:pPr>
        <w:numPr>
          <w:ilvl w:val="0"/>
          <w:numId w:val="19"/>
        </w:numPr>
        <w:tabs>
          <w:tab w:val="left" w:pos="709"/>
        </w:tabs>
        <w:jc w:val="both"/>
        <w:rPr>
          <w:rFonts w:ascii="Times New Roman" w:hAnsi="Times New Roman"/>
          <w:sz w:val="24"/>
          <w:szCs w:val="24"/>
        </w:rPr>
      </w:pPr>
      <w:r w:rsidRPr="000F56D1">
        <w:rPr>
          <w:rFonts w:ascii="Times New Roman" w:hAnsi="Times New Roman"/>
          <w:sz w:val="24"/>
          <w:szCs w:val="24"/>
        </w:rPr>
        <w:t>az egyes adókötelezettségek teljesítésére,</w:t>
      </w:r>
    </w:p>
    <w:p w14:paraId="48B3E16F" w14:textId="77777777" w:rsidR="000F56D1" w:rsidRPr="000F56D1" w:rsidRDefault="000F56D1" w:rsidP="004A51A8">
      <w:pPr>
        <w:numPr>
          <w:ilvl w:val="0"/>
          <w:numId w:val="19"/>
        </w:numPr>
        <w:tabs>
          <w:tab w:val="left" w:pos="709"/>
        </w:tabs>
        <w:jc w:val="both"/>
        <w:rPr>
          <w:rFonts w:ascii="Times New Roman" w:hAnsi="Times New Roman"/>
          <w:sz w:val="24"/>
          <w:szCs w:val="24"/>
        </w:rPr>
      </w:pPr>
      <w:r w:rsidRPr="000F56D1">
        <w:rPr>
          <w:rFonts w:ascii="Times New Roman" w:hAnsi="Times New Roman"/>
          <w:sz w:val="24"/>
          <w:szCs w:val="24"/>
        </w:rPr>
        <w:t>az adatok gyűjtésére,</w:t>
      </w:r>
    </w:p>
    <w:p w14:paraId="37DC4694" w14:textId="77777777" w:rsidR="000F56D1" w:rsidRDefault="000F56D1" w:rsidP="004A51A8">
      <w:pPr>
        <w:numPr>
          <w:ilvl w:val="0"/>
          <w:numId w:val="19"/>
        </w:numPr>
        <w:tabs>
          <w:tab w:val="left" w:pos="709"/>
        </w:tabs>
        <w:jc w:val="both"/>
        <w:rPr>
          <w:rFonts w:ascii="Times New Roman" w:hAnsi="Times New Roman"/>
          <w:sz w:val="24"/>
          <w:szCs w:val="24"/>
        </w:rPr>
      </w:pPr>
      <w:r w:rsidRPr="000F56D1">
        <w:rPr>
          <w:rFonts w:ascii="Times New Roman" w:hAnsi="Times New Roman"/>
          <w:sz w:val="24"/>
          <w:szCs w:val="24"/>
        </w:rPr>
        <w:t>az ellenőrzéssel lezárt időszakra vonatkozó ismételt ellenőrzésre.</w:t>
      </w:r>
    </w:p>
    <w:p w14:paraId="188C5AC8" w14:textId="77777777" w:rsidR="004A51A8" w:rsidRPr="000F56D1" w:rsidRDefault="004A51A8" w:rsidP="004A51A8">
      <w:pPr>
        <w:tabs>
          <w:tab w:val="left" w:pos="709"/>
        </w:tabs>
        <w:ind w:left="720"/>
        <w:jc w:val="both"/>
        <w:rPr>
          <w:rFonts w:ascii="Times New Roman" w:hAnsi="Times New Roman"/>
          <w:sz w:val="24"/>
          <w:szCs w:val="24"/>
        </w:rPr>
      </w:pPr>
    </w:p>
    <w:p w14:paraId="5B837B47" w14:textId="0644D16E" w:rsid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r>
      <w:r w:rsidR="001E790E">
        <w:rPr>
          <w:rFonts w:ascii="Times New Roman" w:hAnsi="Times New Roman"/>
          <w:sz w:val="24"/>
          <w:szCs w:val="24"/>
        </w:rPr>
        <w:t>A</w:t>
      </w:r>
      <w:r w:rsidRPr="000F56D1">
        <w:rPr>
          <w:rFonts w:ascii="Times New Roman" w:hAnsi="Times New Roman"/>
          <w:sz w:val="24"/>
          <w:szCs w:val="24"/>
        </w:rPr>
        <w:t>z egyes adónemekre vonat</w:t>
      </w:r>
      <w:r w:rsidR="004A51A8">
        <w:rPr>
          <w:rFonts w:ascii="Times New Roman" w:hAnsi="Times New Roman"/>
          <w:sz w:val="24"/>
          <w:szCs w:val="24"/>
        </w:rPr>
        <w:t xml:space="preserve">kozó ellenőrzések lefolytatása </w:t>
      </w:r>
      <w:r w:rsidRPr="000F56D1">
        <w:rPr>
          <w:rFonts w:ascii="Times New Roman" w:hAnsi="Times New Roman"/>
          <w:sz w:val="24"/>
          <w:szCs w:val="24"/>
        </w:rPr>
        <w:t>az egyes adók sajátosságaiból adódóan tartalmukban</w:t>
      </w:r>
      <w:r w:rsidR="004F0C12">
        <w:rPr>
          <w:rFonts w:ascii="Times New Roman" w:hAnsi="Times New Roman"/>
          <w:sz w:val="24"/>
          <w:szCs w:val="24"/>
        </w:rPr>
        <w:t>,</w:t>
      </w:r>
      <w:r w:rsidRPr="000F56D1">
        <w:rPr>
          <w:rFonts w:ascii="Times New Roman" w:hAnsi="Times New Roman"/>
          <w:sz w:val="24"/>
          <w:szCs w:val="24"/>
        </w:rPr>
        <w:t xml:space="preserve"> valamint az alkalmazott ellenőrzési módszerek t</w:t>
      </w:r>
      <w:r>
        <w:rPr>
          <w:rFonts w:ascii="Times New Roman" w:hAnsi="Times New Roman"/>
          <w:sz w:val="24"/>
          <w:szCs w:val="24"/>
        </w:rPr>
        <w:t xml:space="preserve">ekintetében eltérnek egymástól, ezért az ellenőrzések lefolytatása mindig kiemelt feladatként jelenik meg, illetve külön szakértelmet igényel mind az ellenőrzést lefolytató kollégától, mind pedig az ellenőrzést irányító osztályvezetőtől. </w:t>
      </w:r>
    </w:p>
    <w:p w14:paraId="5E1D3DB7" w14:textId="77777777" w:rsidR="000F56D1" w:rsidRP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t>Az építményadó ellenőrzésekor a rendelkezésre álló dokumentumokból indul</w:t>
      </w:r>
      <w:r>
        <w:rPr>
          <w:rFonts w:ascii="Times New Roman" w:hAnsi="Times New Roman"/>
          <w:sz w:val="24"/>
          <w:szCs w:val="24"/>
        </w:rPr>
        <w:t>unk</w:t>
      </w:r>
      <w:r w:rsidR="004A51A8">
        <w:rPr>
          <w:rFonts w:ascii="Times New Roman" w:hAnsi="Times New Roman"/>
          <w:sz w:val="24"/>
          <w:szCs w:val="24"/>
        </w:rPr>
        <w:t xml:space="preserve"> ki</w:t>
      </w:r>
      <w:r w:rsidRPr="000F56D1">
        <w:rPr>
          <w:rFonts w:ascii="Times New Roman" w:hAnsi="Times New Roman"/>
          <w:sz w:val="24"/>
          <w:szCs w:val="24"/>
        </w:rPr>
        <w:t xml:space="preserve">, amely lehet építési engedély, használatbavételi engedély, </w:t>
      </w:r>
      <w:r w:rsidR="004F0C12">
        <w:rPr>
          <w:rFonts w:ascii="Times New Roman" w:hAnsi="Times New Roman"/>
          <w:sz w:val="24"/>
          <w:szCs w:val="24"/>
        </w:rPr>
        <w:t>ingatlannyilvántartási</w:t>
      </w:r>
      <w:r w:rsidRPr="000F56D1">
        <w:rPr>
          <w:rFonts w:ascii="Times New Roman" w:hAnsi="Times New Roman"/>
          <w:sz w:val="24"/>
          <w:szCs w:val="24"/>
        </w:rPr>
        <w:t xml:space="preserve"> bejegyzés, telekkönyvi kivonat, de előfordul és egyre gyakoribb, hogy lé</w:t>
      </w:r>
      <w:r>
        <w:rPr>
          <w:rFonts w:ascii="Times New Roman" w:hAnsi="Times New Roman"/>
          <w:sz w:val="24"/>
          <w:szCs w:val="24"/>
        </w:rPr>
        <w:t xml:space="preserve">gi felvételeket is felhasznál az </w:t>
      </w:r>
      <w:r w:rsidRPr="000F56D1">
        <w:rPr>
          <w:rFonts w:ascii="Times New Roman" w:hAnsi="Times New Roman"/>
          <w:sz w:val="24"/>
          <w:szCs w:val="24"/>
        </w:rPr>
        <w:t>ellenőrzéshez az önkormányzati adóhatóság. Engedéllyel nem rendelkező építmények adókötelezettségének feltárása esetén – lakossági bejelentések alapján – az ellenőrzés kizárólag a helyszínen, helyszíni szemlét követően folytatható le. A helyszíni ellenőrzés során felmérésre kerül az építmény, építmények hasznos alapterülete, a hozzá tartozó földterület. Az ellenőrzés során, a helyi adóhatóság vizsgálja az adómentességek jogszerűségét, valamint az adókötelezettség keletkezésének és megszűnésének időbeli helyességét, az adó</w:t>
      </w:r>
      <w:r w:rsidR="002F6AF2">
        <w:rPr>
          <w:rFonts w:ascii="Times New Roman" w:hAnsi="Times New Roman"/>
          <w:sz w:val="24"/>
          <w:szCs w:val="24"/>
        </w:rPr>
        <w:t>bevallás</w:t>
      </w:r>
      <w:r w:rsidRPr="000F56D1">
        <w:rPr>
          <w:rFonts w:ascii="Times New Roman" w:hAnsi="Times New Roman"/>
          <w:sz w:val="24"/>
          <w:szCs w:val="24"/>
        </w:rPr>
        <w:t xml:space="preserve"> adattartamára vonatkozó helyességet </w:t>
      </w:r>
      <w:r w:rsidR="00065433">
        <w:rPr>
          <w:rFonts w:ascii="Times New Roman" w:hAnsi="Times New Roman"/>
          <w:sz w:val="24"/>
          <w:szCs w:val="24"/>
        </w:rPr>
        <w:t xml:space="preserve">– azaz az építmény nagyságát - </w:t>
      </w:r>
      <w:r w:rsidRPr="000F56D1">
        <w:rPr>
          <w:rFonts w:ascii="Times New Roman" w:hAnsi="Times New Roman"/>
          <w:sz w:val="24"/>
          <w:szCs w:val="24"/>
        </w:rPr>
        <w:t>valamint magát az adókötelezettség fennállását.</w:t>
      </w:r>
    </w:p>
    <w:p w14:paraId="22D5770A" w14:textId="5C999D2D" w:rsidR="000F56D1" w:rsidRP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t xml:space="preserve">A </w:t>
      </w:r>
      <w:r w:rsidR="005F2392">
        <w:rPr>
          <w:rFonts w:ascii="Times New Roman" w:hAnsi="Times New Roman"/>
          <w:sz w:val="24"/>
          <w:szCs w:val="24"/>
        </w:rPr>
        <w:t xml:space="preserve">kommunális adó </w:t>
      </w:r>
      <w:r w:rsidRPr="000F56D1">
        <w:rPr>
          <w:rFonts w:ascii="Times New Roman" w:hAnsi="Times New Roman"/>
          <w:sz w:val="24"/>
          <w:szCs w:val="24"/>
        </w:rPr>
        <w:t>ellenőrzése alapesetben az ingatlan-nyilvántartás adatainak figyelembevételével kezdődik. Az adóellenőrzés során az adókötelezettség keletkezésének, illetve megszűnésének időpontját, valóságtartalmát kell megvizsgálni. Ajánlatos az építményadó ellenőrzésénél is alkalmaz</w:t>
      </w:r>
      <w:r w:rsidR="002F6AF2">
        <w:rPr>
          <w:rFonts w:ascii="Times New Roman" w:hAnsi="Times New Roman"/>
          <w:sz w:val="24"/>
          <w:szCs w:val="24"/>
        </w:rPr>
        <w:t>ott helyszíni szemle megtartása</w:t>
      </w:r>
      <w:r w:rsidRPr="000F56D1">
        <w:rPr>
          <w:rFonts w:ascii="Times New Roman" w:hAnsi="Times New Roman"/>
          <w:sz w:val="24"/>
          <w:szCs w:val="24"/>
        </w:rPr>
        <w:t xml:space="preserve"> az adókötelezettség megállapításához.</w:t>
      </w:r>
    </w:p>
    <w:p w14:paraId="72448123" w14:textId="2E465B1F" w:rsidR="000F56D1" w:rsidRP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r>
      <w:r w:rsidR="004F0C12">
        <w:rPr>
          <w:rFonts w:ascii="Times New Roman" w:hAnsi="Times New Roman"/>
          <w:sz w:val="24"/>
          <w:szCs w:val="24"/>
        </w:rPr>
        <w:t xml:space="preserve"> </w:t>
      </w:r>
    </w:p>
    <w:p w14:paraId="491B18FF" w14:textId="6A70F196" w:rsidR="000F56D1" w:rsidRP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t xml:space="preserve">A helyi iparűzési adó ellenőrzése – tekintettel a bevétel nagyságára </w:t>
      </w:r>
      <w:r w:rsidR="002F6AF2">
        <w:rPr>
          <w:rFonts w:ascii="Times New Roman" w:hAnsi="Times New Roman"/>
          <w:sz w:val="24"/>
          <w:szCs w:val="24"/>
        </w:rPr>
        <w:t>–</w:t>
      </w:r>
      <w:r w:rsidRPr="000F56D1">
        <w:rPr>
          <w:rFonts w:ascii="Times New Roman" w:hAnsi="Times New Roman"/>
          <w:sz w:val="24"/>
          <w:szCs w:val="24"/>
        </w:rPr>
        <w:t xml:space="preserve"> </w:t>
      </w:r>
      <w:r w:rsidR="002F6AF2">
        <w:rPr>
          <w:rFonts w:ascii="Times New Roman" w:hAnsi="Times New Roman"/>
          <w:sz w:val="24"/>
          <w:szCs w:val="24"/>
        </w:rPr>
        <w:t>a leghatékonyabban ellenőrizhető adónem</w:t>
      </w:r>
      <w:r w:rsidRPr="000F56D1">
        <w:rPr>
          <w:rFonts w:ascii="Times New Roman" w:hAnsi="Times New Roman"/>
          <w:sz w:val="24"/>
          <w:szCs w:val="24"/>
        </w:rPr>
        <w:t xml:space="preserve">, </w:t>
      </w:r>
      <w:r w:rsidR="002F6AF2">
        <w:rPr>
          <w:rFonts w:ascii="Times New Roman" w:hAnsi="Times New Roman"/>
          <w:sz w:val="24"/>
          <w:szCs w:val="24"/>
        </w:rPr>
        <w:t>és ez igényli leginkább</w:t>
      </w:r>
      <w:r w:rsidRPr="000F56D1">
        <w:rPr>
          <w:rFonts w:ascii="Times New Roman" w:hAnsi="Times New Roman"/>
          <w:sz w:val="24"/>
          <w:szCs w:val="24"/>
        </w:rPr>
        <w:t xml:space="preserve"> </w:t>
      </w:r>
      <w:r w:rsidR="002F6AF2">
        <w:rPr>
          <w:rFonts w:ascii="Times New Roman" w:hAnsi="Times New Roman"/>
          <w:sz w:val="24"/>
          <w:szCs w:val="24"/>
        </w:rPr>
        <w:t xml:space="preserve">a </w:t>
      </w:r>
      <w:r w:rsidRPr="000F56D1">
        <w:rPr>
          <w:rFonts w:ascii="Times New Roman" w:hAnsi="Times New Roman"/>
          <w:sz w:val="24"/>
          <w:szCs w:val="24"/>
        </w:rPr>
        <w:t xml:space="preserve">magasan képzett szakemberek tudását. A helyi iparűzési </w:t>
      </w:r>
      <w:r w:rsidR="00BB6FE9" w:rsidRPr="000F56D1">
        <w:rPr>
          <w:rFonts w:ascii="Times New Roman" w:hAnsi="Times New Roman"/>
          <w:sz w:val="24"/>
          <w:szCs w:val="24"/>
        </w:rPr>
        <w:t>adónál kiemelt</w:t>
      </w:r>
      <w:r w:rsidRPr="000F56D1">
        <w:rPr>
          <w:rFonts w:ascii="Times New Roman" w:hAnsi="Times New Roman"/>
          <w:sz w:val="24"/>
          <w:szCs w:val="24"/>
        </w:rPr>
        <w:t xml:space="preserve"> hangsúly kell fektetni az adóalap terhére indokolatlanul elszámolt az adólapot csökkentő tételek jogszerűségének vizsgálatára. Ennek megfelelően alapvető elvárás, hogy az adóellenőr ismerje nemcsak a jogszabályokat és </w:t>
      </w:r>
      <w:r w:rsidR="009A18D7">
        <w:rPr>
          <w:rFonts w:ascii="Times New Roman" w:hAnsi="Times New Roman"/>
          <w:sz w:val="24"/>
          <w:szCs w:val="24"/>
        </w:rPr>
        <w:t>azok alkalmazását</w:t>
      </w:r>
      <w:r w:rsidR="000E114C">
        <w:rPr>
          <w:rFonts w:ascii="Times New Roman" w:hAnsi="Times New Roman"/>
          <w:sz w:val="24"/>
          <w:szCs w:val="24"/>
        </w:rPr>
        <w:t>.</w:t>
      </w:r>
      <w:r w:rsidRPr="000F56D1">
        <w:rPr>
          <w:rFonts w:ascii="Times New Roman" w:hAnsi="Times New Roman"/>
          <w:sz w:val="24"/>
          <w:szCs w:val="24"/>
        </w:rPr>
        <w:t xml:space="preserve"> </w:t>
      </w:r>
      <w:r w:rsidR="000E114C">
        <w:rPr>
          <w:rFonts w:ascii="Times New Roman" w:hAnsi="Times New Roman"/>
          <w:sz w:val="24"/>
          <w:szCs w:val="24"/>
        </w:rPr>
        <w:t>A</w:t>
      </w:r>
      <w:r w:rsidRPr="000F56D1">
        <w:rPr>
          <w:rFonts w:ascii="Times New Roman" w:hAnsi="Times New Roman"/>
          <w:sz w:val="24"/>
          <w:szCs w:val="24"/>
        </w:rPr>
        <w:t xml:space="preserve"> megosztásra vonatkozóan, (nettó árbevétel) az adóalap jogszerűsége vizsgálandó terület, de kiemelt figyelmet indokolt fordítani a kapcsolt vállalkozások közötti költségelszámolásokra, az adózóknál alkalmazott megosztási módszerekre. </w:t>
      </w:r>
    </w:p>
    <w:p w14:paraId="2F9ABD17" w14:textId="77777777" w:rsidR="000F56D1" w:rsidRDefault="000F56D1" w:rsidP="004A51A8">
      <w:pPr>
        <w:tabs>
          <w:tab w:val="left" w:pos="709"/>
        </w:tabs>
        <w:jc w:val="both"/>
        <w:rPr>
          <w:rFonts w:ascii="Times New Roman" w:hAnsi="Times New Roman"/>
          <w:sz w:val="24"/>
          <w:szCs w:val="24"/>
        </w:rPr>
      </w:pPr>
      <w:r w:rsidRPr="000F56D1">
        <w:rPr>
          <w:rFonts w:ascii="Times New Roman" w:hAnsi="Times New Roman"/>
          <w:sz w:val="24"/>
          <w:szCs w:val="24"/>
        </w:rPr>
        <w:tab/>
        <w:t>Az adó</w:t>
      </w:r>
      <w:r w:rsidR="0038546A">
        <w:rPr>
          <w:rFonts w:ascii="Times New Roman" w:hAnsi="Times New Roman"/>
          <w:sz w:val="24"/>
          <w:szCs w:val="24"/>
        </w:rPr>
        <w:t>el</w:t>
      </w:r>
      <w:r w:rsidRPr="000F56D1">
        <w:rPr>
          <w:rFonts w:ascii="Times New Roman" w:hAnsi="Times New Roman"/>
          <w:sz w:val="24"/>
          <w:szCs w:val="24"/>
        </w:rPr>
        <w:t>kerülés megakadályozása érdekében az önkormányzat más önkormányzatoka</w:t>
      </w:r>
      <w:r w:rsidR="009D2974">
        <w:rPr>
          <w:rFonts w:ascii="Times New Roman" w:hAnsi="Times New Roman"/>
          <w:sz w:val="24"/>
          <w:szCs w:val="24"/>
        </w:rPr>
        <w:t>t, a Nemzeti Adó</w:t>
      </w:r>
      <w:r w:rsidR="002F6AF2">
        <w:rPr>
          <w:rFonts w:ascii="Times New Roman" w:hAnsi="Times New Roman"/>
          <w:sz w:val="24"/>
          <w:szCs w:val="24"/>
        </w:rPr>
        <w:t>-</w:t>
      </w:r>
      <w:r w:rsidR="009D2974">
        <w:rPr>
          <w:rFonts w:ascii="Times New Roman" w:hAnsi="Times New Roman"/>
          <w:sz w:val="24"/>
          <w:szCs w:val="24"/>
        </w:rPr>
        <w:t xml:space="preserve"> és Vámhivatalt</w:t>
      </w:r>
      <w:r w:rsidRPr="000F56D1">
        <w:rPr>
          <w:rFonts w:ascii="Times New Roman" w:hAnsi="Times New Roman"/>
          <w:sz w:val="24"/>
          <w:szCs w:val="24"/>
        </w:rPr>
        <w:t xml:space="preserve"> is megkeresi és tájékozódik a vállalkozó, vállalkozás egyes </w:t>
      </w:r>
      <w:r w:rsidRPr="000F56D1">
        <w:rPr>
          <w:rFonts w:ascii="Times New Roman" w:hAnsi="Times New Roman"/>
          <w:sz w:val="24"/>
          <w:szCs w:val="24"/>
        </w:rPr>
        <w:lastRenderedPageBreak/>
        <w:t>adókötelezettségeinek bevallásával, illetve megfizetésével kapcsolatosan. Ellenőrzés céljából adatokat, információkat kérhet</w:t>
      </w:r>
      <w:r w:rsidR="002F6AF2" w:rsidRPr="002F6AF2">
        <w:rPr>
          <w:rFonts w:ascii="Times New Roman" w:hAnsi="Times New Roman"/>
          <w:sz w:val="24"/>
          <w:szCs w:val="24"/>
        </w:rPr>
        <w:t xml:space="preserve"> </w:t>
      </w:r>
      <w:r w:rsidR="002F6AF2">
        <w:rPr>
          <w:rFonts w:ascii="Times New Roman" w:hAnsi="Times New Roman"/>
          <w:sz w:val="24"/>
          <w:szCs w:val="24"/>
        </w:rPr>
        <w:t>bármely más hivataltól (</w:t>
      </w:r>
      <w:r w:rsidRPr="000F56D1">
        <w:rPr>
          <w:rFonts w:ascii="Times New Roman" w:hAnsi="Times New Roman"/>
          <w:sz w:val="24"/>
          <w:szCs w:val="24"/>
        </w:rPr>
        <w:t xml:space="preserve">pl. </w:t>
      </w:r>
      <w:r w:rsidR="002F6AF2">
        <w:rPr>
          <w:rFonts w:ascii="Times New Roman" w:hAnsi="Times New Roman"/>
          <w:sz w:val="24"/>
          <w:szCs w:val="24"/>
        </w:rPr>
        <w:t xml:space="preserve">ingatlan-nyilvántartás, </w:t>
      </w:r>
      <w:proofErr w:type="gramStart"/>
      <w:r w:rsidR="002F6AF2">
        <w:rPr>
          <w:rFonts w:ascii="Times New Roman" w:hAnsi="Times New Roman"/>
          <w:sz w:val="24"/>
          <w:szCs w:val="24"/>
        </w:rPr>
        <w:t>e</w:t>
      </w:r>
      <w:r w:rsidRPr="000F56D1">
        <w:rPr>
          <w:rFonts w:ascii="Times New Roman" w:hAnsi="Times New Roman"/>
          <w:sz w:val="24"/>
          <w:szCs w:val="24"/>
        </w:rPr>
        <w:t>gészségbiztosítás</w:t>
      </w:r>
      <w:r w:rsidR="002F6AF2">
        <w:rPr>
          <w:rFonts w:ascii="Times New Roman" w:hAnsi="Times New Roman"/>
          <w:sz w:val="24"/>
          <w:szCs w:val="24"/>
        </w:rPr>
        <w:t>,</w:t>
      </w:r>
      <w:proofErr w:type="gramEnd"/>
      <w:r w:rsidR="002F6AF2">
        <w:rPr>
          <w:rFonts w:ascii="Times New Roman" w:hAnsi="Times New Roman"/>
          <w:sz w:val="24"/>
          <w:szCs w:val="24"/>
        </w:rPr>
        <w:t xml:space="preserve"> s</w:t>
      </w:r>
      <w:r w:rsidRPr="000F56D1">
        <w:rPr>
          <w:rFonts w:ascii="Times New Roman" w:hAnsi="Times New Roman"/>
          <w:sz w:val="24"/>
          <w:szCs w:val="24"/>
        </w:rPr>
        <w:t>tb.</w:t>
      </w:r>
      <w:r w:rsidR="002F6AF2">
        <w:rPr>
          <w:rFonts w:ascii="Times New Roman" w:hAnsi="Times New Roman"/>
          <w:sz w:val="24"/>
          <w:szCs w:val="24"/>
        </w:rPr>
        <w:t>)</w:t>
      </w:r>
    </w:p>
    <w:p w14:paraId="5E54D5A6" w14:textId="569B7A2D" w:rsidR="00B75070" w:rsidRDefault="000F56D1" w:rsidP="004A51A8">
      <w:pPr>
        <w:tabs>
          <w:tab w:val="left" w:pos="709"/>
        </w:tabs>
        <w:autoSpaceDE w:val="0"/>
        <w:autoSpaceDN w:val="0"/>
        <w:adjustRightInd w:val="0"/>
        <w:jc w:val="both"/>
        <w:rPr>
          <w:rFonts w:ascii="Times New Roman" w:hAnsi="Times New Roman"/>
          <w:sz w:val="24"/>
        </w:rPr>
      </w:pPr>
      <w:r>
        <w:rPr>
          <w:rFonts w:ascii="Times New Roman" w:hAnsi="Times New Roman"/>
          <w:sz w:val="24"/>
        </w:rPr>
        <w:tab/>
      </w:r>
    </w:p>
    <w:p w14:paraId="77952747" w14:textId="0C2F9CC5" w:rsidR="00BA7FB0" w:rsidRDefault="00BA7FB0" w:rsidP="004A51A8">
      <w:pPr>
        <w:tabs>
          <w:tab w:val="left" w:pos="709"/>
        </w:tabs>
        <w:autoSpaceDE w:val="0"/>
        <w:autoSpaceDN w:val="0"/>
        <w:adjustRightInd w:val="0"/>
        <w:jc w:val="both"/>
        <w:rPr>
          <w:rFonts w:ascii="Times New Roman" w:hAnsi="Times New Roman"/>
          <w:sz w:val="24"/>
        </w:rPr>
      </w:pPr>
      <w:r>
        <w:rPr>
          <w:rFonts w:ascii="Times New Roman" w:hAnsi="Times New Roman"/>
          <w:sz w:val="24"/>
        </w:rPr>
        <w:tab/>
        <w:t>2020. év legnagyobb kihívása a koronavírus-járvány tükrében a dolgozók számára elrendelet hivatalon kívüli munkavégzés jelentette</w:t>
      </w:r>
      <w:r w:rsidR="000E114C">
        <w:rPr>
          <w:rFonts w:ascii="Times New Roman" w:hAnsi="Times New Roman"/>
          <w:sz w:val="24"/>
        </w:rPr>
        <w:t xml:space="preserve"> a</w:t>
      </w:r>
      <w:r>
        <w:rPr>
          <w:rFonts w:ascii="Times New Roman" w:hAnsi="Times New Roman"/>
          <w:sz w:val="24"/>
        </w:rPr>
        <w:t xml:space="preserve"> </w:t>
      </w:r>
      <w:proofErr w:type="spellStart"/>
      <w:r>
        <w:rPr>
          <w:rFonts w:ascii="Times New Roman" w:hAnsi="Times New Roman"/>
          <w:sz w:val="24"/>
        </w:rPr>
        <w:t>home</w:t>
      </w:r>
      <w:proofErr w:type="spellEnd"/>
      <w:r>
        <w:rPr>
          <w:rFonts w:ascii="Times New Roman" w:hAnsi="Times New Roman"/>
          <w:sz w:val="24"/>
        </w:rPr>
        <w:t xml:space="preserve"> </w:t>
      </w:r>
      <w:proofErr w:type="spellStart"/>
      <w:r>
        <w:rPr>
          <w:rFonts w:ascii="Times New Roman" w:hAnsi="Times New Roman"/>
          <w:sz w:val="24"/>
        </w:rPr>
        <w:t>office</w:t>
      </w:r>
      <w:proofErr w:type="spellEnd"/>
      <w:r>
        <w:rPr>
          <w:rFonts w:ascii="Times New Roman" w:hAnsi="Times New Roman"/>
          <w:sz w:val="24"/>
        </w:rPr>
        <w:t xml:space="preserve"> során</w:t>
      </w:r>
      <w:r w:rsidR="000E114C">
        <w:rPr>
          <w:rFonts w:ascii="Times New Roman" w:hAnsi="Times New Roman"/>
          <w:sz w:val="24"/>
        </w:rPr>
        <w:t xml:space="preserve">. A helyszíni ellenőrzések elmaradtak és az egyéb ellenőrzések is egyszerűsített formában zajlottak le. </w:t>
      </w:r>
    </w:p>
    <w:p w14:paraId="3010D72A" w14:textId="77777777" w:rsidR="00B75070" w:rsidRDefault="00B75070" w:rsidP="004A51A8">
      <w:pPr>
        <w:tabs>
          <w:tab w:val="left" w:pos="709"/>
        </w:tabs>
        <w:autoSpaceDE w:val="0"/>
        <w:autoSpaceDN w:val="0"/>
        <w:adjustRightInd w:val="0"/>
        <w:jc w:val="both"/>
        <w:rPr>
          <w:rFonts w:ascii="Times New Roman" w:hAnsi="Times New Roman"/>
          <w:sz w:val="24"/>
        </w:rPr>
      </w:pPr>
    </w:p>
    <w:p w14:paraId="111B3037" w14:textId="77777777" w:rsidR="000F56D1" w:rsidRDefault="000F56D1" w:rsidP="004A51A8">
      <w:pPr>
        <w:tabs>
          <w:tab w:val="left" w:pos="709"/>
        </w:tabs>
        <w:autoSpaceDE w:val="0"/>
        <w:autoSpaceDN w:val="0"/>
        <w:adjustRightInd w:val="0"/>
        <w:jc w:val="both"/>
        <w:rPr>
          <w:rFonts w:ascii="Times New Roman" w:hAnsi="Times New Roman"/>
          <w:b/>
          <w:i/>
          <w:sz w:val="24"/>
          <w:szCs w:val="24"/>
          <w:u w:val="single"/>
          <w:lang w:eastAsia="hu-HU"/>
        </w:rPr>
      </w:pPr>
    </w:p>
    <w:p w14:paraId="5B156C2B" w14:textId="77777777" w:rsidR="00D06A2F" w:rsidRDefault="00537E21" w:rsidP="004A51A8">
      <w:pPr>
        <w:numPr>
          <w:ilvl w:val="0"/>
          <w:numId w:val="17"/>
        </w:numPr>
        <w:jc w:val="both"/>
        <w:rPr>
          <w:rFonts w:ascii="Times New Roman" w:hAnsi="Times New Roman"/>
          <w:b/>
          <w:i/>
          <w:sz w:val="24"/>
          <w:szCs w:val="24"/>
          <w:u w:val="single"/>
          <w:lang w:eastAsia="hu-HU"/>
        </w:rPr>
      </w:pPr>
      <w:r>
        <w:rPr>
          <w:rFonts w:ascii="Times New Roman" w:hAnsi="Times New Roman"/>
          <w:b/>
          <w:i/>
          <w:sz w:val="24"/>
          <w:szCs w:val="24"/>
          <w:u w:val="single"/>
          <w:lang w:eastAsia="hu-HU"/>
        </w:rPr>
        <w:t>Feladatellátás részletezése</w:t>
      </w:r>
    </w:p>
    <w:p w14:paraId="5FE3A4AE" w14:textId="77777777" w:rsidR="00D06A2F" w:rsidRPr="00D06A2F" w:rsidRDefault="00D06A2F" w:rsidP="004A51A8">
      <w:pPr>
        <w:ind w:left="720"/>
        <w:jc w:val="both"/>
        <w:rPr>
          <w:rFonts w:ascii="Times New Roman" w:hAnsi="Times New Roman"/>
          <w:b/>
          <w:i/>
          <w:sz w:val="24"/>
          <w:szCs w:val="24"/>
          <w:u w:val="single"/>
          <w:lang w:eastAsia="hu-HU"/>
        </w:rPr>
      </w:pPr>
    </w:p>
    <w:p w14:paraId="3B31991A" w14:textId="77777777" w:rsidR="008D6427" w:rsidRDefault="00BA7205" w:rsidP="004A51A8">
      <w:pPr>
        <w:ind w:firstLine="360"/>
        <w:jc w:val="both"/>
        <w:rPr>
          <w:rFonts w:ascii="Times New Roman" w:hAnsi="Times New Roman"/>
          <w:sz w:val="24"/>
          <w:szCs w:val="24"/>
          <w:lang w:eastAsia="hu-HU"/>
        </w:rPr>
      </w:pPr>
      <w:r>
        <w:rPr>
          <w:rFonts w:ascii="Times New Roman" w:hAnsi="Times New Roman"/>
          <w:sz w:val="24"/>
          <w:szCs w:val="24"/>
          <w:lang w:eastAsia="hu-HU"/>
        </w:rPr>
        <w:t>Az adóbevételek beszedése</w:t>
      </w:r>
      <w:r w:rsidR="000F56D1">
        <w:rPr>
          <w:rFonts w:ascii="Times New Roman" w:hAnsi="Times New Roman"/>
          <w:sz w:val="24"/>
          <w:szCs w:val="24"/>
          <w:lang w:eastAsia="hu-HU"/>
        </w:rPr>
        <w:t>, az adóellenőrzések lefolytatása</w:t>
      </w:r>
      <w:r>
        <w:rPr>
          <w:rFonts w:ascii="Times New Roman" w:hAnsi="Times New Roman"/>
          <w:sz w:val="24"/>
          <w:szCs w:val="24"/>
          <w:lang w:eastAsia="hu-HU"/>
        </w:rPr>
        <w:t xml:space="preserve"> mellett az adóhatóság különféle hatósági tevékenységeket is ellát működése során:</w:t>
      </w:r>
    </w:p>
    <w:p w14:paraId="78CB57E1" w14:textId="77777777" w:rsidR="00BA7205" w:rsidRDefault="00BA7205" w:rsidP="00C03E21">
      <w:pPr>
        <w:numPr>
          <w:ilvl w:val="0"/>
          <w:numId w:val="25"/>
        </w:numPr>
        <w:jc w:val="both"/>
        <w:rPr>
          <w:rFonts w:ascii="Times New Roman" w:hAnsi="Times New Roman"/>
          <w:sz w:val="24"/>
          <w:szCs w:val="24"/>
          <w:lang w:eastAsia="hu-HU"/>
        </w:rPr>
      </w:pPr>
      <w:r>
        <w:rPr>
          <w:rFonts w:ascii="Times New Roman" w:hAnsi="Times New Roman"/>
          <w:sz w:val="24"/>
          <w:szCs w:val="24"/>
          <w:lang w:eastAsia="hu-HU"/>
        </w:rPr>
        <w:t>adóigazolások kiállítása</w:t>
      </w:r>
    </w:p>
    <w:p w14:paraId="2BF73FFC" w14:textId="77777777" w:rsidR="00BA7205" w:rsidRDefault="00BA7205" w:rsidP="00C03E21">
      <w:pPr>
        <w:numPr>
          <w:ilvl w:val="0"/>
          <w:numId w:val="25"/>
        </w:numPr>
        <w:jc w:val="both"/>
        <w:rPr>
          <w:rFonts w:ascii="Times New Roman" w:hAnsi="Times New Roman"/>
          <w:sz w:val="24"/>
          <w:szCs w:val="24"/>
          <w:lang w:eastAsia="hu-HU"/>
        </w:rPr>
      </w:pPr>
      <w:r>
        <w:rPr>
          <w:rFonts w:ascii="Times New Roman" w:hAnsi="Times New Roman"/>
          <w:sz w:val="24"/>
          <w:szCs w:val="24"/>
          <w:lang w:eastAsia="hu-HU"/>
        </w:rPr>
        <w:t>vagyoni bizonyítványok kiállítása</w:t>
      </w:r>
    </w:p>
    <w:p w14:paraId="475E7A18" w14:textId="77777777" w:rsidR="00BA7205" w:rsidRDefault="00BA7205" w:rsidP="00C03E21">
      <w:pPr>
        <w:numPr>
          <w:ilvl w:val="0"/>
          <w:numId w:val="25"/>
        </w:numPr>
        <w:jc w:val="both"/>
        <w:rPr>
          <w:rFonts w:ascii="Times New Roman" w:hAnsi="Times New Roman"/>
          <w:sz w:val="24"/>
          <w:szCs w:val="24"/>
          <w:lang w:eastAsia="hu-HU"/>
        </w:rPr>
      </w:pPr>
      <w:r>
        <w:rPr>
          <w:rFonts w:ascii="Times New Roman" w:hAnsi="Times New Roman"/>
          <w:sz w:val="24"/>
          <w:szCs w:val="24"/>
          <w:lang w:eastAsia="hu-HU"/>
        </w:rPr>
        <w:t>hatósági bizonyítvány készítése</w:t>
      </w:r>
    </w:p>
    <w:p w14:paraId="0E7EB281" w14:textId="6D224DC0" w:rsidR="00BA7205" w:rsidRDefault="00BA7205" w:rsidP="00C03E21">
      <w:pPr>
        <w:numPr>
          <w:ilvl w:val="0"/>
          <w:numId w:val="25"/>
        </w:numPr>
        <w:jc w:val="both"/>
        <w:rPr>
          <w:rFonts w:ascii="Times New Roman" w:hAnsi="Times New Roman"/>
          <w:sz w:val="24"/>
          <w:szCs w:val="24"/>
          <w:lang w:eastAsia="hu-HU"/>
        </w:rPr>
      </w:pPr>
      <w:r>
        <w:rPr>
          <w:rFonts w:ascii="Times New Roman" w:hAnsi="Times New Roman"/>
          <w:sz w:val="24"/>
          <w:szCs w:val="24"/>
          <w:lang w:eastAsia="hu-HU"/>
        </w:rPr>
        <w:t>adó és értékbizonyítvány készítése</w:t>
      </w:r>
      <w:r w:rsidR="00FB2414">
        <w:rPr>
          <w:rFonts w:ascii="Times New Roman" w:hAnsi="Times New Roman"/>
          <w:sz w:val="24"/>
          <w:szCs w:val="24"/>
          <w:lang w:eastAsia="hu-HU"/>
        </w:rPr>
        <w:t xml:space="preserve"> </w:t>
      </w:r>
    </w:p>
    <w:p w14:paraId="2D92B2CA" w14:textId="4D4FBE2B" w:rsidR="00BA7205" w:rsidRDefault="00BA7205" w:rsidP="00C03E21">
      <w:pPr>
        <w:numPr>
          <w:ilvl w:val="0"/>
          <w:numId w:val="25"/>
        </w:numPr>
        <w:jc w:val="both"/>
        <w:rPr>
          <w:rFonts w:ascii="Times New Roman" w:hAnsi="Times New Roman"/>
          <w:sz w:val="24"/>
          <w:szCs w:val="24"/>
          <w:lang w:eastAsia="hu-HU"/>
        </w:rPr>
      </w:pPr>
      <w:r>
        <w:rPr>
          <w:rFonts w:ascii="Times New Roman" w:hAnsi="Times New Roman"/>
          <w:sz w:val="24"/>
          <w:szCs w:val="24"/>
          <w:lang w:eastAsia="hu-HU"/>
        </w:rPr>
        <w:t>méltányossági eljárás lefolytatása</w:t>
      </w:r>
      <w:r w:rsidR="001E790E">
        <w:rPr>
          <w:rFonts w:ascii="Times New Roman" w:hAnsi="Times New Roman"/>
          <w:sz w:val="24"/>
          <w:szCs w:val="24"/>
          <w:lang w:eastAsia="hu-HU"/>
        </w:rPr>
        <w:t>, részletfizetések</w:t>
      </w:r>
    </w:p>
    <w:p w14:paraId="6FE1C480" w14:textId="2F987CE5" w:rsidR="006467B4" w:rsidRDefault="00BA7205" w:rsidP="004A51A8">
      <w:pPr>
        <w:ind w:firstLine="360"/>
        <w:jc w:val="both"/>
        <w:rPr>
          <w:rFonts w:ascii="Times New Roman" w:hAnsi="Times New Roman"/>
          <w:sz w:val="24"/>
          <w:szCs w:val="24"/>
          <w:lang w:eastAsia="hu-HU"/>
        </w:rPr>
      </w:pPr>
      <w:r>
        <w:rPr>
          <w:rFonts w:ascii="Times New Roman" w:hAnsi="Times New Roman"/>
          <w:sz w:val="24"/>
          <w:szCs w:val="24"/>
          <w:lang w:eastAsia="hu-HU"/>
        </w:rPr>
        <w:t xml:space="preserve">Az adóigazgatási feladatok ellátásának letéteményese a jegyző, </w:t>
      </w:r>
      <w:r w:rsidR="00982A77">
        <w:rPr>
          <w:rFonts w:ascii="Times New Roman" w:hAnsi="Times New Roman"/>
          <w:sz w:val="24"/>
          <w:szCs w:val="24"/>
          <w:lang w:eastAsia="hu-HU"/>
        </w:rPr>
        <w:t xml:space="preserve">aki </w:t>
      </w:r>
      <w:r>
        <w:rPr>
          <w:rFonts w:ascii="Times New Roman" w:hAnsi="Times New Roman"/>
          <w:sz w:val="24"/>
          <w:szCs w:val="24"/>
          <w:lang w:eastAsia="hu-HU"/>
        </w:rPr>
        <w:t>az önkormányzati ad</w:t>
      </w:r>
      <w:r w:rsidR="00982A77">
        <w:rPr>
          <w:rFonts w:ascii="Times New Roman" w:hAnsi="Times New Roman"/>
          <w:sz w:val="24"/>
          <w:szCs w:val="24"/>
          <w:lang w:eastAsia="hu-HU"/>
        </w:rPr>
        <w:t xml:space="preserve">óhatóság. A Polgármesteri Hivatal Szervezeti és Működési Szabályzatának feladatellátási rendelkezései ezt a tevékenységet </w:t>
      </w:r>
      <w:r w:rsidR="009D2974">
        <w:rPr>
          <w:rFonts w:ascii="Times New Roman" w:hAnsi="Times New Roman"/>
          <w:sz w:val="24"/>
          <w:szCs w:val="24"/>
          <w:lang w:eastAsia="hu-HU"/>
        </w:rPr>
        <w:t>a</w:t>
      </w:r>
      <w:r w:rsidR="000E114C">
        <w:rPr>
          <w:rFonts w:ascii="Times New Roman" w:hAnsi="Times New Roman"/>
          <w:sz w:val="24"/>
          <w:szCs w:val="24"/>
          <w:lang w:eastAsia="hu-HU"/>
        </w:rPr>
        <w:t xml:space="preserve"> 2 fő a</w:t>
      </w:r>
      <w:r w:rsidR="009D2974">
        <w:rPr>
          <w:rFonts w:ascii="Times New Roman" w:hAnsi="Times New Roman"/>
          <w:sz w:val="24"/>
          <w:szCs w:val="24"/>
          <w:lang w:eastAsia="hu-HU"/>
        </w:rPr>
        <w:t>dóügy</w:t>
      </w:r>
      <w:r w:rsidR="000E114C">
        <w:rPr>
          <w:rFonts w:ascii="Times New Roman" w:hAnsi="Times New Roman"/>
          <w:sz w:val="24"/>
          <w:szCs w:val="24"/>
          <w:lang w:eastAsia="hu-HU"/>
        </w:rPr>
        <w:t xml:space="preserve">es kollégára </w:t>
      </w:r>
      <w:r w:rsidR="00982A77">
        <w:rPr>
          <w:rFonts w:ascii="Times New Roman" w:hAnsi="Times New Roman"/>
          <w:sz w:val="24"/>
          <w:szCs w:val="24"/>
          <w:lang w:eastAsia="hu-HU"/>
        </w:rPr>
        <w:t>feladatául rendeli</w:t>
      </w:r>
      <w:r>
        <w:rPr>
          <w:rFonts w:ascii="Times New Roman" w:hAnsi="Times New Roman"/>
          <w:sz w:val="24"/>
          <w:szCs w:val="24"/>
          <w:lang w:eastAsia="hu-HU"/>
        </w:rPr>
        <w:t xml:space="preserve">. </w:t>
      </w:r>
      <w:r w:rsidR="000E114C">
        <w:rPr>
          <w:rFonts w:ascii="Times New Roman" w:hAnsi="Times New Roman"/>
          <w:sz w:val="24"/>
          <w:szCs w:val="24"/>
          <w:lang w:eastAsia="hu-HU"/>
        </w:rPr>
        <w:t>Adóügyi feladataik mellé mindketten ellátnak egyéb munkaköröket is, mint például  munkaügyi, hagyaték</w:t>
      </w:r>
      <w:r w:rsidR="009668DC">
        <w:rPr>
          <w:rFonts w:ascii="Times New Roman" w:hAnsi="Times New Roman"/>
          <w:sz w:val="24"/>
          <w:szCs w:val="24"/>
          <w:lang w:eastAsia="hu-HU"/>
        </w:rPr>
        <w:t>i</w:t>
      </w:r>
      <w:r w:rsidR="000E114C">
        <w:rPr>
          <w:rFonts w:ascii="Times New Roman" w:hAnsi="Times New Roman"/>
          <w:sz w:val="24"/>
          <w:szCs w:val="24"/>
          <w:lang w:eastAsia="hu-HU"/>
        </w:rPr>
        <w:t xml:space="preserve"> és helyet</w:t>
      </w:r>
      <w:r w:rsidR="009668DC">
        <w:rPr>
          <w:rFonts w:ascii="Times New Roman" w:hAnsi="Times New Roman"/>
          <w:sz w:val="24"/>
          <w:szCs w:val="24"/>
          <w:lang w:eastAsia="hu-HU"/>
        </w:rPr>
        <w:t>t</w:t>
      </w:r>
      <w:r w:rsidR="000E114C">
        <w:rPr>
          <w:rFonts w:ascii="Times New Roman" w:hAnsi="Times New Roman"/>
          <w:sz w:val="24"/>
          <w:szCs w:val="24"/>
          <w:lang w:eastAsia="hu-HU"/>
        </w:rPr>
        <w:t>es anyakö</w:t>
      </w:r>
      <w:r w:rsidR="009668DC">
        <w:rPr>
          <w:rFonts w:ascii="Times New Roman" w:hAnsi="Times New Roman"/>
          <w:sz w:val="24"/>
          <w:szCs w:val="24"/>
          <w:lang w:eastAsia="hu-HU"/>
        </w:rPr>
        <w:t>nyv</w:t>
      </w:r>
      <w:r w:rsidR="000E114C">
        <w:rPr>
          <w:rFonts w:ascii="Times New Roman" w:hAnsi="Times New Roman"/>
          <w:sz w:val="24"/>
          <w:szCs w:val="24"/>
          <w:lang w:eastAsia="hu-HU"/>
        </w:rPr>
        <w:t>vezetői teendőket</w:t>
      </w:r>
      <w:r w:rsidR="009668DC">
        <w:rPr>
          <w:rFonts w:ascii="Times New Roman" w:hAnsi="Times New Roman"/>
          <w:sz w:val="24"/>
          <w:szCs w:val="24"/>
          <w:lang w:eastAsia="hu-HU"/>
        </w:rPr>
        <w:t xml:space="preserve"> is végeznek </w:t>
      </w:r>
      <w:r w:rsidR="000E114C">
        <w:rPr>
          <w:rFonts w:ascii="Times New Roman" w:hAnsi="Times New Roman"/>
          <w:sz w:val="24"/>
          <w:szCs w:val="24"/>
          <w:lang w:eastAsia="hu-HU"/>
        </w:rPr>
        <w:t xml:space="preserve"> </w:t>
      </w:r>
      <w:r>
        <w:rPr>
          <w:rFonts w:ascii="Times New Roman" w:hAnsi="Times New Roman"/>
          <w:sz w:val="24"/>
          <w:szCs w:val="24"/>
          <w:lang w:eastAsia="hu-HU"/>
        </w:rPr>
        <w:t>A fentiekben részletesen tárgyalt adóhatósági munka, mely magában foglalja a helyi adók, az átengedett központi adók, adóellenőrzések, végrehajtási tevékenységek, adók módjára behajtandó köztartozások és egyéb hatósági feladatok teljes körű ügyinté</w:t>
      </w:r>
      <w:r w:rsidR="009D2974">
        <w:rPr>
          <w:rFonts w:ascii="Times New Roman" w:hAnsi="Times New Roman"/>
          <w:sz w:val="24"/>
          <w:szCs w:val="24"/>
          <w:lang w:eastAsia="hu-HU"/>
        </w:rPr>
        <w:t>zés</w:t>
      </w:r>
      <w:r>
        <w:rPr>
          <w:rFonts w:ascii="Times New Roman" w:hAnsi="Times New Roman"/>
          <w:sz w:val="24"/>
          <w:szCs w:val="24"/>
          <w:lang w:eastAsia="hu-HU"/>
        </w:rPr>
        <w:t xml:space="preserve">ét, valamint adminisztrációját és az ezekhez szorosan kapcsolódó személyes és telefonos ügyfélszolgálat </w:t>
      </w:r>
      <w:r w:rsidR="009D2974">
        <w:rPr>
          <w:rFonts w:ascii="Times New Roman" w:hAnsi="Times New Roman"/>
          <w:sz w:val="24"/>
          <w:szCs w:val="24"/>
          <w:lang w:eastAsia="hu-HU"/>
        </w:rPr>
        <w:t xml:space="preserve">jelentősen leterheli </w:t>
      </w:r>
      <w:r w:rsidR="00463564">
        <w:rPr>
          <w:rFonts w:ascii="Times New Roman" w:hAnsi="Times New Roman"/>
          <w:sz w:val="24"/>
          <w:szCs w:val="24"/>
          <w:lang w:eastAsia="hu-HU"/>
        </w:rPr>
        <w:t xml:space="preserve">a </w:t>
      </w:r>
      <w:r>
        <w:rPr>
          <w:rFonts w:ascii="Times New Roman" w:hAnsi="Times New Roman"/>
          <w:sz w:val="24"/>
          <w:szCs w:val="24"/>
          <w:lang w:eastAsia="hu-HU"/>
        </w:rPr>
        <w:t>dolgozó</w:t>
      </w:r>
      <w:r w:rsidR="00463564">
        <w:rPr>
          <w:rFonts w:ascii="Times New Roman" w:hAnsi="Times New Roman"/>
          <w:sz w:val="24"/>
          <w:szCs w:val="24"/>
          <w:lang w:eastAsia="hu-HU"/>
        </w:rPr>
        <w:t>ka</w:t>
      </w:r>
      <w:r>
        <w:rPr>
          <w:rFonts w:ascii="Times New Roman" w:hAnsi="Times New Roman"/>
          <w:sz w:val="24"/>
          <w:szCs w:val="24"/>
          <w:lang w:eastAsia="hu-HU"/>
        </w:rPr>
        <w:t xml:space="preserve">t. </w:t>
      </w:r>
    </w:p>
    <w:p w14:paraId="2100D4D0" w14:textId="6CF831CF" w:rsidR="00C844BD" w:rsidRDefault="00D3671B" w:rsidP="004A51A8">
      <w:pPr>
        <w:ind w:firstLine="426"/>
        <w:jc w:val="both"/>
        <w:rPr>
          <w:rFonts w:ascii="Times New Roman" w:eastAsia="Times New Roman" w:hAnsi="Times New Roman"/>
          <w:sz w:val="24"/>
          <w:szCs w:val="24"/>
          <w:lang w:eastAsia="hu-HU"/>
        </w:rPr>
      </w:pPr>
      <w:r>
        <w:rPr>
          <w:rFonts w:ascii="Times New Roman" w:hAnsi="Times New Roman"/>
          <w:sz w:val="24"/>
          <w:szCs w:val="24"/>
          <w:lang w:eastAsia="hu-HU"/>
        </w:rPr>
        <w:t xml:space="preserve">Az </w:t>
      </w:r>
      <w:r w:rsidR="006467B4">
        <w:rPr>
          <w:rFonts w:ascii="Times New Roman" w:hAnsi="Times New Roman"/>
          <w:sz w:val="24"/>
          <w:szCs w:val="24"/>
          <w:lang w:eastAsia="hu-HU"/>
        </w:rPr>
        <w:t xml:space="preserve">adóügyek </w:t>
      </w:r>
      <w:r>
        <w:rPr>
          <w:rFonts w:ascii="Times New Roman" w:hAnsi="Times New Roman"/>
          <w:sz w:val="24"/>
          <w:szCs w:val="24"/>
          <w:lang w:eastAsia="hu-HU"/>
        </w:rPr>
        <w:t xml:space="preserve">intézése jelentős feladat, </w:t>
      </w:r>
      <w:r w:rsidR="007A5A95">
        <w:rPr>
          <w:rFonts w:ascii="Times New Roman" w:hAnsi="Times New Roman"/>
          <w:sz w:val="24"/>
          <w:szCs w:val="24"/>
          <w:lang w:eastAsia="hu-HU"/>
        </w:rPr>
        <w:t xml:space="preserve">így fontos, hogy adózóink kiszolgálása gyors, hatékony és ügyfélbarát módon történjék. Az Önkormányzati Adóhatóság </w:t>
      </w:r>
      <w:r w:rsidR="00BA4AB1">
        <w:rPr>
          <w:rFonts w:ascii="Times New Roman" w:hAnsi="Times New Roman"/>
          <w:sz w:val="24"/>
          <w:szCs w:val="24"/>
          <w:lang w:eastAsia="hu-HU"/>
        </w:rPr>
        <w:t>az</w:t>
      </w:r>
      <w:r w:rsidR="007A5A95">
        <w:rPr>
          <w:rFonts w:ascii="Times New Roman" w:hAnsi="Times New Roman"/>
          <w:sz w:val="24"/>
          <w:szCs w:val="24"/>
          <w:lang w:eastAsia="hu-HU"/>
        </w:rPr>
        <w:t xml:space="preserve"> irodában fogadja ügyfeleit, </w:t>
      </w:r>
      <w:r w:rsidR="00BB6FE9">
        <w:rPr>
          <w:rFonts w:ascii="Times New Roman" w:hAnsi="Times New Roman"/>
          <w:sz w:val="24"/>
          <w:szCs w:val="24"/>
          <w:lang w:eastAsia="hu-HU"/>
        </w:rPr>
        <w:t>és adózóink</w:t>
      </w:r>
      <w:r w:rsidR="007A5A95">
        <w:rPr>
          <w:rFonts w:ascii="Times New Roman" w:hAnsi="Times New Roman"/>
          <w:sz w:val="24"/>
          <w:szCs w:val="24"/>
          <w:lang w:eastAsia="hu-HU"/>
        </w:rPr>
        <w:t xml:space="preserve"> számára – meghatározott feltételek mellett – un. elektronikus ügyfélszolgálat is működik, ahol adózóink tájékozódhatnak folyószámla egyenlegükről, az adóztatás tárgyáról, alapjáról, megtekinthetik hátralékukat, és elektronikus formában – bankkártyájuk igénybevétele mellett – rendezhetik is azt. Az Adóhatóság kiemelt figyelmet fordít arra, hogy az ügyfelek kiszolgálása a jelenleg ismert legk</w:t>
      </w:r>
      <w:r w:rsidR="00881A41">
        <w:rPr>
          <w:rFonts w:ascii="Times New Roman" w:hAnsi="Times New Roman"/>
          <w:sz w:val="24"/>
          <w:szCs w:val="24"/>
          <w:lang w:eastAsia="hu-HU"/>
        </w:rPr>
        <w:t>o</w:t>
      </w:r>
      <w:r w:rsidR="007A5A95">
        <w:rPr>
          <w:rFonts w:ascii="Times New Roman" w:hAnsi="Times New Roman"/>
          <w:sz w:val="24"/>
          <w:szCs w:val="24"/>
          <w:lang w:eastAsia="hu-HU"/>
        </w:rPr>
        <w:t>rszerűbb technikákkal és módon történjék</w:t>
      </w:r>
      <w:r w:rsidR="00180D34">
        <w:rPr>
          <w:rFonts w:ascii="Times New Roman" w:hAnsi="Times New Roman"/>
          <w:sz w:val="24"/>
          <w:szCs w:val="24"/>
          <w:lang w:eastAsia="hu-HU"/>
        </w:rPr>
        <w:t>, valamint szem előtt tartja, hogy az</w:t>
      </w:r>
      <w:r w:rsidR="00180D34" w:rsidRPr="00180D34">
        <w:rPr>
          <w:rFonts w:ascii="Times New Roman" w:eastAsia="Times New Roman" w:hAnsi="Times New Roman"/>
          <w:sz w:val="24"/>
          <w:szCs w:val="24"/>
          <w:lang w:eastAsia="hu-HU"/>
        </w:rPr>
        <w:t xml:space="preserve"> adóztatási feladatokhoz kapcsoló</w:t>
      </w:r>
      <w:r w:rsidR="00180D34">
        <w:rPr>
          <w:rFonts w:ascii="Times New Roman" w:eastAsia="Times New Roman" w:hAnsi="Times New Roman"/>
          <w:sz w:val="24"/>
          <w:szCs w:val="24"/>
          <w:lang w:eastAsia="hu-HU"/>
        </w:rPr>
        <w:t>dó közszolgáltatások fejlesztése elengedhetetlenül sz</w:t>
      </w:r>
      <w:r w:rsidR="00180D34" w:rsidRPr="00180D34">
        <w:rPr>
          <w:rFonts w:ascii="Times New Roman" w:eastAsia="Times New Roman" w:hAnsi="Times New Roman"/>
          <w:sz w:val="24"/>
          <w:szCs w:val="24"/>
          <w:lang w:eastAsia="hu-HU"/>
        </w:rPr>
        <w:t>ükséges</w:t>
      </w:r>
      <w:r w:rsidR="00180D34">
        <w:rPr>
          <w:rFonts w:ascii="Times New Roman" w:eastAsia="Times New Roman" w:hAnsi="Times New Roman"/>
          <w:sz w:val="24"/>
          <w:szCs w:val="24"/>
          <w:lang w:eastAsia="hu-HU"/>
        </w:rPr>
        <w:t xml:space="preserve"> annak érdekében, hogy </w:t>
      </w:r>
      <w:r w:rsidR="00180D34" w:rsidRPr="00180D34">
        <w:rPr>
          <w:rFonts w:ascii="Times New Roman" w:eastAsia="Times New Roman" w:hAnsi="Times New Roman"/>
          <w:sz w:val="24"/>
          <w:szCs w:val="24"/>
          <w:lang w:eastAsia="hu-HU"/>
        </w:rPr>
        <w:t>az adóigazgatási közszolgáltatások bárki sz</w:t>
      </w:r>
      <w:r w:rsidR="00180D34">
        <w:rPr>
          <w:rFonts w:ascii="Times New Roman" w:eastAsia="Times New Roman" w:hAnsi="Times New Roman"/>
          <w:sz w:val="24"/>
          <w:szCs w:val="24"/>
          <w:lang w:eastAsia="hu-HU"/>
        </w:rPr>
        <w:t>ámára elektronikusan is elérhetők legyenek.</w:t>
      </w:r>
      <w:r w:rsidR="00180D34" w:rsidRPr="00180D34">
        <w:rPr>
          <w:rFonts w:ascii="Times New Roman" w:eastAsia="Times New Roman" w:hAnsi="Times New Roman"/>
          <w:sz w:val="24"/>
          <w:szCs w:val="24"/>
          <w:lang w:eastAsia="hu-HU"/>
        </w:rPr>
        <w:t xml:space="preserve"> A helyi adóhatóság ezen célkitűzés megvalósításához </w:t>
      </w:r>
      <w:r w:rsidR="00180D34">
        <w:rPr>
          <w:rFonts w:ascii="Times New Roman" w:eastAsia="Times New Roman" w:hAnsi="Times New Roman"/>
          <w:sz w:val="24"/>
          <w:szCs w:val="24"/>
          <w:lang w:eastAsia="hu-HU"/>
        </w:rPr>
        <w:t xml:space="preserve">a fentiekben már részletezett lépéseket megtette, de </w:t>
      </w:r>
      <w:r w:rsidR="00180D34" w:rsidRPr="00180D34">
        <w:rPr>
          <w:rFonts w:ascii="Times New Roman" w:eastAsia="Times New Roman" w:hAnsi="Times New Roman"/>
          <w:sz w:val="24"/>
          <w:szCs w:val="24"/>
          <w:lang w:eastAsia="hu-HU"/>
        </w:rPr>
        <w:t>továbbra is szükséges ezen innovatív megoldások szinte</w:t>
      </w:r>
      <w:r>
        <w:rPr>
          <w:rFonts w:ascii="Times New Roman" w:eastAsia="Times New Roman" w:hAnsi="Times New Roman"/>
          <w:sz w:val="24"/>
          <w:szCs w:val="24"/>
          <w:lang w:eastAsia="hu-HU"/>
        </w:rPr>
        <w:t>n tartása, fejlesztése az ügyfelek</w:t>
      </w:r>
      <w:r w:rsidR="00180D34" w:rsidRPr="00180D34">
        <w:rPr>
          <w:rFonts w:ascii="Times New Roman" w:eastAsia="Times New Roman" w:hAnsi="Times New Roman"/>
          <w:sz w:val="24"/>
          <w:szCs w:val="24"/>
          <w:lang w:eastAsia="hu-HU"/>
        </w:rPr>
        <w:t xml:space="preserve"> igénye</w:t>
      </w:r>
      <w:r>
        <w:rPr>
          <w:rFonts w:ascii="Times New Roman" w:eastAsia="Times New Roman" w:hAnsi="Times New Roman"/>
          <w:sz w:val="24"/>
          <w:szCs w:val="24"/>
          <w:lang w:eastAsia="hu-HU"/>
        </w:rPr>
        <w:t>ine</w:t>
      </w:r>
      <w:r w:rsidR="00180D34" w:rsidRPr="00180D34">
        <w:rPr>
          <w:rFonts w:ascii="Times New Roman" w:eastAsia="Times New Roman" w:hAnsi="Times New Roman"/>
          <w:sz w:val="24"/>
          <w:szCs w:val="24"/>
          <w:lang w:eastAsia="hu-HU"/>
        </w:rPr>
        <w:t>k maximá</w:t>
      </w:r>
      <w:r w:rsidR="00180D34">
        <w:rPr>
          <w:rFonts w:ascii="Times New Roman" w:eastAsia="Times New Roman" w:hAnsi="Times New Roman"/>
          <w:sz w:val="24"/>
          <w:szCs w:val="24"/>
          <w:lang w:eastAsia="hu-HU"/>
        </w:rPr>
        <w:t>lis teljesítése mellett. 2016-ba</w:t>
      </w:r>
      <w:r w:rsidR="00180D34" w:rsidRPr="00180D34">
        <w:rPr>
          <w:rFonts w:ascii="Times New Roman" w:eastAsia="Times New Roman" w:hAnsi="Times New Roman"/>
          <w:sz w:val="24"/>
          <w:szCs w:val="24"/>
          <w:lang w:eastAsia="hu-HU"/>
        </w:rPr>
        <w:t xml:space="preserve">n </w:t>
      </w:r>
      <w:r w:rsidR="00180D34">
        <w:rPr>
          <w:rFonts w:ascii="Times New Roman" w:eastAsia="Times New Roman" w:hAnsi="Times New Roman"/>
          <w:sz w:val="24"/>
          <w:szCs w:val="24"/>
          <w:lang w:eastAsia="hu-HU"/>
        </w:rPr>
        <w:t xml:space="preserve">ennek hatására </w:t>
      </w:r>
      <w:r w:rsidR="00180D34" w:rsidRPr="00180D34">
        <w:rPr>
          <w:rFonts w:ascii="Times New Roman" w:eastAsia="Times New Roman" w:hAnsi="Times New Roman"/>
          <w:sz w:val="24"/>
          <w:szCs w:val="24"/>
          <w:lang w:eastAsia="hu-HU"/>
        </w:rPr>
        <w:t>elindult a helyi adóhatóság elektronikus adóbevallást benyújtó, feldolgozó, tájékoztató weboldala</w:t>
      </w:r>
      <w:r w:rsidR="009668DC">
        <w:rPr>
          <w:rFonts w:ascii="Times New Roman" w:eastAsia="Times New Roman" w:hAnsi="Times New Roman"/>
          <w:sz w:val="24"/>
          <w:szCs w:val="24"/>
          <w:lang w:eastAsia="hu-HU"/>
        </w:rPr>
        <w:t xml:space="preserve"> </w:t>
      </w:r>
      <w:proofErr w:type="gramStart"/>
      <w:r w:rsidR="009668DC">
        <w:rPr>
          <w:rFonts w:ascii="Times New Roman" w:eastAsia="Times New Roman" w:hAnsi="Times New Roman"/>
          <w:sz w:val="24"/>
          <w:szCs w:val="24"/>
          <w:lang w:eastAsia="hu-HU"/>
        </w:rPr>
        <w:t>( az</w:t>
      </w:r>
      <w:proofErr w:type="gramEnd"/>
      <w:r w:rsidR="009668DC">
        <w:rPr>
          <w:rFonts w:ascii="Times New Roman" w:eastAsia="Times New Roman" w:hAnsi="Times New Roman"/>
          <w:sz w:val="24"/>
          <w:szCs w:val="24"/>
          <w:lang w:eastAsia="hu-HU"/>
        </w:rPr>
        <w:t xml:space="preserve"> Önkormányzati Hivatali Portál) </w:t>
      </w:r>
      <w:r w:rsidR="00180D34" w:rsidRPr="00180D34">
        <w:rPr>
          <w:rFonts w:ascii="Times New Roman" w:eastAsia="Times New Roman" w:hAnsi="Times New Roman"/>
          <w:sz w:val="24"/>
          <w:szCs w:val="24"/>
          <w:lang w:eastAsia="hu-HU"/>
        </w:rPr>
        <w:t xml:space="preserve">, melynek keretén belül az adózók, megfelelő regisztráció után, elektronikus formában, ügyfélkapun keresztül tudnak az Önkormányzat felé adóigazgatási ügyeket indítani. Ehhez tartozik az adóbevallások elektronikus kitöltése, beküldése, feldolgozása, az adófolyószámla online elérhetősége, szükség esetén online pénzügyi rendezése. Az innovatív fejlesztés része még a bankkártyával történő befizetések ösztönzése, valamint az adózók számára kiküldött értesítők, folyószámla egyenlegek egyszerűsítése, színvonalának javítása. </w:t>
      </w:r>
    </w:p>
    <w:p w14:paraId="37F0EF07" w14:textId="42A99BA8" w:rsidR="00C31F95" w:rsidRDefault="00180D34" w:rsidP="004A51A8">
      <w:pPr>
        <w:ind w:firstLine="426"/>
        <w:jc w:val="both"/>
        <w:rPr>
          <w:rFonts w:ascii="Times New Roman" w:eastAsia="Times New Roman" w:hAnsi="Times New Roman"/>
          <w:sz w:val="24"/>
          <w:szCs w:val="24"/>
          <w:lang w:eastAsia="hu-HU"/>
        </w:rPr>
      </w:pPr>
      <w:r w:rsidRPr="00180D34">
        <w:rPr>
          <w:rFonts w:ascii="Times New Roman" w:eastAsia="Times New Roman" w:hAnsi="Times New Roman"/>
          <w:sz w:val="24"/>
          <w:szCs w:val="24"/>
          <w:lang w:eastAsia="hu-HU"/>
        </w:rPr>
        <w:tab/>
      </w:r>
      <w:r w:rsidR="00C844BD" w:rsidRPr="00C844BD">
        <w:rPr>
          <w:rFonts w:ascii="Times New Roman" w:eastAsia="Times New Roman" w:hAnsi="Times New Roman"/>
          <w:sz w:val="24"/>
          <w:szCs w:val="24"/>
          <w:lang w:eastAsia="hu-HU"/>
        </w:rPr>
        <w:t>A</w:t>
      </w:r>
      <w:r w:rsidR="00C844BD">
        <w:rPr>
          <w:rFonts w:ascii="Times New Roman" w:eastAsia="Times New Roman" w:hAnsi="Times New Roman"/>
          <w:sz w:val="24"/>
          <w:szCs w:val="24"/>
          <w:lang w:eastAsia="hu-HU"/>
        </w:rPr>
        <w:t xml:space="preserve"> 201</w:t>
      </w:r>
      <w:r w:rsidR="009668DC">
        <w:rPr>
          <w:rFonts w:ascii="Times New Roman" w:eastAsia="Times New Roman" w:hAnsi="Times New Roman"/>
          <w:sz w:val="24"/>
          <w:szCs w:val="24"/>
          <w:lang w:eastAsia="hu-HU"/>
        </w:rPr>
        <w:t>7</w:t>
      </w:r>
      <w:r w:rsidR="00C844BD">
        <w:rPr>
          <w:rFonts w:ascii="Times New Roman" w:eastAsia="Times New Roman" w:hAnsi="Times New Roman"/>
          <w:sz w:val="24"/>
          <w:szCs w:val="24"/>
          <w:lang w:eastAsia="hu-HU"/>
        </w:rPr>
        <w:t>.</w:t>
      </w:r>
      <w:r w:rsidR="00C844BD" w:rsidRPr="00C844BD">
        <w:rPr>
          <w:rFonts w:ascii="Times New Roman" w:eastAsia="Times New Roman" w:hAnsi="Times New Roman"/>
          <w:sz w:val="24"/>
          <w:szCs w:val="24"/>
          <w:lang w:eastAsia="hu-HU"/>
        </w:rPr>
        <w:t xml:space="preserve"> év legjelentősebb kihívása a kötelezően bevezetésre kerül</w:t>
      </w:r>
      <w:r w:rsidR="00C844BD">
        <w:rPr>
          <w:rFonts w:ascii="Times New Roman" w:eastAsia="Times New Roman" w:hAnsi="Times New Roman"/>
          <w:sz w:val="24"/>
          <w:szCs w:val="24"/>
          <w:lang w:eastAsia="hu-HU"/>
        </w:rPr>
        <w:t>t</w:t>
      </w:r>
      <w:r w:rsidR="00982A77">
        <w:rPr>
          <w:rFonts w:ascii="Times New Roman" w:eastAsia="Times New Roman" w:hAnsi="Times New Roman"/>
          <w:sz w:val="24"/>
          <w:szCs w:val="24"/>
          <w:lang w:eastAsia="hu-HU"/>
        </w:rPr>
        <w:t>,</w:t>
      </w:r>
      <w:r w:rsidR="00C844BD" w:rsidRPr="00C844BD">
        <w:rPr>
          <w:rFonts w:ascii="Times New Roman" w:eastAsia="Times New Roman" w:hAnsi="Times New Roman"/>
          <w:sz w:val="24"/>
          <w:szCs w:val="24"/>
          <w:lang w:eastAsia="hu-HU"/>
        </w:rPr>
        <w:t xml:space="preserve"> az önkormányzati feladatok végzését segítő és szabályozó informatikai rendszer, más néven ASP</w:t>
      </w:r>
      <w:r w:rsidR="00C844BD">
        <w:rPr>
          <w:rFonts w:ascii="Times New Roman" w:eastAsia="Times New Roman" w:hAnsi="Times New Roman"/>
          <w:sz w:val="24"/>
          <w:szCs w:val="24"/>
          <w:lang w:eastAsia="hu-HU"/>
        </w:rPr>
        <w:t xml:space="preserve"> (</w:t>
      </w:r>
      <w:proofErr w:type="spellStart"/>
      <w:r w:rsidR="00C844BD">
        <w:rPr>
          <w:rFonts w:ascii="Times New Roman" w:eastAsia="Times New Roman" w:hAnsi="Times New Roman"/>
          <w:sz w:val="24"/>
          <w:szCs w:val="24"/>
          <w:lang w:eastAsia="hu-HU"/>
        </w:rPr>
        <w:t>Application</w:t>
      </w:r>
      <w:proofErr w:type="spellEnd"/>
      <w:r w:rsidR="00C844BD">
        <w:rPr>
          <w:rFonts w:ascii="Times New Roman" w:eastAsia="Times New Roman" w:hAnsi="Times New Roman"/>
          <w:sz w:val="24"/>
          <w:szCs w:val="24"/>
          <w:lang w:eastAsia="hu-HU"/>
        </w:rPr>
        <w:t xml:space="preserve"> Service </w:t>
      </w:r>
      <w:proofErr w:type="spellStart"/>
      <w:r w:rsidR="00C844BD">
        <w:rPr>
          <w:rFonts w:ascii="Times New Roman" w:eastAsia="Times New Roman" w:hAnsi="Times New Roman"/>
          <w:sz w:val="24"/>
          <w:szCs w:val="24"/>
          <w:lang w:eastAsia="hu-HU"/>
        </w:rPr>
        <w:t>Provider</w:t>
      </w:r>
      <w:proofErr w:type="spellEnd"/>
      <w:r w:rsidR="00C844BD">
        <w:rPr>
          <w:rFonts w:ascii="Times New Roman" w:eastAsia="Times New Roman" w:hAnsi="Times New Roman"/>
          <w:sz w:val="24"/>
          <w:szCs w:val="24"/>
          <w:lang w:eastAsia="hu-HU"/>
        </w:rPr>
        <w:t>).</w:t>
      </w:r>
      <w:r w:rsidR="000B0AB1">
        <w:rPr>
          <w:rFonts w:ascii="Times New Roman" w:eastAsia="Times New Roman" w:hAnsi="Times New Roman"/>
          <w:sz w:val="24"/>
          <w:szCs w:val="24"/>
          <w:lang w:eastAsia="hu-HU"/>
        </w:rPr>
        <w:t xml:space="preserve"> Nagy kihívást jelentett nemcsak az informatikai rendszer számára, hanem </w:t>
      </w:r>
      <w:r w:rsidR="000B0AB1">
        <w:rPr>
          <w:rFonts w:ascii="Times New Roman" w:eastAsia="Times New Roman" w:hAnsi="Times New Roman"/>
          <w:sz w:val="24"/>
          <w:szCs w:val="24"/>
          <w:lang w:eastAsia="hu-HU"/>
        </w:rPr>
        <w:lastRenderedPageBreak/>
        <w:t xml:space="preserve">dolgozóink számára is a koronavírus járvány miatt tett intézkedések betartása, ezzel egyidejűleg az adóztatás és a munkavégzés folyamatossága. </w:t>
      </w:r>
    </w:p>
    <w:p w14:paraId="310EB39D" w14:textId="686EE550" w:rsidR="009D2974" w:rsidRDefault="00C31F95" w:rsidP="004A51A8">
      <w:pPr>
        <w:ind w:firstLine="426"/>
        <w:jc w:val="both"/>
        <w:rPr>
          <w:rFonts w:ascii="Times New Roman" w:hAnsi="Times New Roman"/>
          <w:sz w:val="24"/>
          <w:szCs w:val="24"/>
          <w:lang w:eastAsia="hu-HU"/>
        </w:rPr>
      </w:pPr>
      <w:r>
        <w:rPr>
          <w:rFonts w:ascii="Times New Roman" w:eastAsia="Times New Roman" w:hAnsi="Times New Roman"/>
          <w:sz w:val="24"/>
          <w:szCs w:val="24"/>
          <w:lang w:eastAsia="hu-HU"/>
        </w:rPr>
        <w:t>2020. évben a</w:t>
      </w:r>
      <w:r w:rsidR="000B0AB1">
        <w:rPr>
          <w:rFonts w:ascii="Times New Roman" w:eastAsia="Times New Roman" w:hAnsi="Times New Roman"/>
          <w:sz w:val="24"/>
          <w:szCs w:val="24"/>
          <w:lang w:eastAsia="hu-HU"/>
        </w:rPr>
        <w:t xml:space="preserve"> veszélyhelyzet kihirdetését követően a Polgármesteri Hivatal dolgozói számára a hivatal vezetése lehetőséget biztosított az otthoni munkavégzésre. A </w:t>
      </w:r>
      <w:proofErr w:type="spellStart"/>
      <w:r w:rsidR="000B0AB1">
        <w:rPr>
          <w:rFonts w:ascii="Times New Roman" w:eastAsia="Times New Roman" w:hAnsi="Times New Roman"/>
          <w:sz w:val="24"/>
          <w:szCs w:val="24"/>
          <w:lang w:eastAsia="hu-HU"/>
        </w:rPr>
        <w:t>home</w:t>
      </w:r>
      <w:proofErr w:type="spellEnd"/>
      <w:r w:rsidR="000B0AB1">
        <w:rPr>
          <w:rFonts w:ascii="Times New Roman" w:eastAsia="Times New Roman" w:hAnsi="Times New Roman"/>
          <w:sz w:val="24"/>
          <w:szCs w:val="24"/>
          <w:lang w:eastAsia="hu-HU"/>
        </w:rPr>
        <w:t xml:space="preserve"> </w:t>
      </w:r>
      <w:proofErr w:type="spellStart"/>
      <w:r w:rsidR="000B0AB1">
        <w:rPr>
          <w:rFonts w:ascii="Times New Roman" w:eastAsia="Times New Roman" w:hAnsi="Times New Roman"/>
          <w:sz w:val="24"/>
          <w:szCs w:val="24"/>
          <w:lang w:eastAsia="hu-HU"/>
        </w:rPr>
        <w:t>office</w:t>
      </w:r>
      <w:proofErr w:type="spellEnd"/>
      <w:r w:rsidR="000B0AB1">
        <w:rPr>
          <w:rFonts w:ascii="Times New Roman" w:eastAsia="Times New Roman" w:hAnsi="Times New Roman"/>
          <w:sz w:val="24"/>
          <w:szCs w:val="24"/>
          <w:lang w:eastAsia="hu-HU"/>
        </w:rPr>
        <w:t xml:space="preserve"> alatt az önkormányzati adórendszer – ASP- lehetővé tette számunkra, hogy otthonról elérjük azokat az informatikai </w:t>
      </w:r>
      <w:proofErr w:type="spellStart"/>
      <w:r w:rsidR="000B0AB1">
        <w:rPr>
          <w:rFonts w:ascii="Times New Roman" w:eastAsia="Times New Roman" w:hAnsi="Times New Roman"/>
          <w:sz w:val="24"/>
          <w:szCs w:val="24"/>
          <w:lang w:eastAsia="hu-HU"/>
        </w:rPr>
        <w:t>hálózatokat</w:t>
      </w:r>
      <w:proofErr w:type="spellEnd"/>
      <w:r w:rsidR="000B0AB1">
        <w:rPr>
          <w:rFonts w:ascii="Times New Roman" w:eastAsia="Times New Roman" w:hAnsi="Times New Roman"/>
          <w:sz w:val="24"/>
          <w:szCs w:val="24"/>
          <w:lang w:eastAsia="hu-HU"/>
        </w:rPr>
        <w:t xml:space="preserve"> és alkalmazásokat, melyek a feladat ellátáshoz feltétlenül szükségesek. Tekintve, hogy adózók számára fenn állt a lehetőség már korábban is az elektronikus kapcsolattartásra, a járvány alatti fokozott óvatosság </w:t>
      </w:r>
      <w:proofErr w:type="gramStart"/>
      <w:r w:rsidR="000B0AB1">
        <w:rPr>
          <w:rFonts w:ascii="Times New Roman" w:eastAsia="Times New Roman" w:hAnsi="Times New Roman"/>
          <w:sz w:val="24"/>
          <w:szCs w:val="24"/>
          <w:lang w:eastAsia="hu-HU"/>
        </w:rPr>
        <w:t>figyelembe vétele</w:t>
      </w:r>
      <w:proofErr w:type="gramEnd"/>
      <w:r w:rsidR="000B0AB1">
        <w:rPr>
          <w:rFonts w:ascii="Times New Roman" w:eastAsia="Times New Roman" w:hAnsi="Times New Roman"/>
          <w:sz w:val="24"/>
          <w:szCs w:val="24"/>
          <w:lang w:eastAsia="hu-HU"/>
        </w:rPr>
        <w:t xml:space="preserve"> mellett, </w:t>
      </w:r>
      <w:r w:rsidR="00FB2414">
        <w:rPr>
          <w:rFonts w:ascii="Times New Roman" w:eastAsia="Times New Roman" w:hAnsi="Times New Roman"/>
          <w:sz w:val="24"/>
          <w:szCs w:val="24"/>
          <w:lang w:eastAsia="hu-HU"/>
        </w:rPr>
        <w:t xml:space="preserve">valamint </w:t>
      </w:r>
      <w:r w:rsidR="000B0AB1">
        <w:rPr>
          <w:rFonts w:ascii="Times New Roman" w:eastAsia="Times New Roman" w:hAnsi="Times New Roman"/>
          <w:sz w:val="24"/>
          <w:szCs w:val="24"/>
          <w:lang w:eastAsia="hu-HU"/>
        </w:rPr>
        <w:t xml:space="preserve">az otthoni munkavégzés lehetőségének kihasználása, további teret engedett ennek kibővítésére. Az adóztatással kapcsolatos feladatok így </w:t>
      </w:r>
      <w:proofErr w:type="gramStart"/>
      <w:r w:rsidR="00BB6FE9">
        <w:rPr>
          <w:rFonts w:ascii="Times New Roman" w:eastAsia="Times New Roman" w:hAnsi="Times New Roman"/>
          <w:sz w:val="24"/>
          <w:szCs w:val="24"/>
          <w:lang w:eastAsia="hu-HU"/>
        </w:rPr>
        <w:t>teljes körűen</w:t>
      </w:r>
      <w:proofErr w:type="gramEnd"/>
      <w:r w:rsidR="000B0AB1">
        <w:rPr>
          <w:rFonts w:ascii="Times New Roman" w:eastAsia="Times New Roman" w:hAnsi="Times New Roman"/>
          <w:sz w:val="24"/>
          <w:szCs w:val="24"/>
          <w:lang w:eastAsia="hu-HU"/>
        </w:rPr>
        <w:t xml:space="preserve"> ellátásra kerültek, az adózók </w:t>
      </w:r>
      <w:r w:rsidR="005C6DFE">
        <w:rPr>
          <w:rFonts w:ascii="Times New Roman" w:eastAsia="Times New Roman" w:hAnsi="Times New Roman"/>
          <w:sz w:val="24"/>
          <w:szCs w:val="24"/>
          <w:lang w:eastAsia="hu-HU"/>
        </w:rPr>
        <w:t xml:space="preserve">e-ügyintézéssel, </w:t>
      </w:r>
      <w:r w:rsidR="00BB6FE9">
        <w:rPr>
          <w:rFonts w:ascii="Times New Roman" w:eastAsia="Times New Roman" w:hAnsi="Times New Roman"/>
          <w:sz w:val="24"/>
          <w:szCs w:val="24"/>
          <w:lang w:eastAsia="hu-HU"/>
        </w:rPr>
        <w:t>emailben,</w:t>
      </w:r>
      <w:r w:rsidR="000B0AB1">
        <w:rPr>
          <w:rFonts w:ascii="Times New Roman" w:eastAsia="Times New Roman" w:hAnsi="Times New Roman"/>
          <w:sz w:val="24"/>
          <w:szCs w:val="24"/>
          <w:lang w:eastAsia="hu-HU"/>
        </w:rPr>
        <w:t xml:space="preserve"> illetve telefonon tarthatták a kapcsolatot az önkormányzati adóhatóság dolgozóival. </w:t>
      </w:r>
    </w:p>
    <w:p w14:paraId="1C0D603C" w14:textId="77777777" w:rsidR="000933E5" w:rsidRPr="00D06A2F" w:rsidRDefault="000933E5" w:rsidP="004A51A8">
      <w:pPr>
        <w:jc w:val="both"/>
        <w:rPr>
          <w:rFonts w:ascii="Times New Roman" w:eastAsia="Times New Roman" w:hAnsi="Times New Roman"/>
          <w:sz w:val="24"/>
          <w:szCs w:val="24"/>
          <w:lang w:eastAsia="hu-HU"/>
        </w:rPr>
      </w:pPr>
    </w:p>
    <w:p w14:paraId="48319B3D" w14:textId="77777777" w:rsidR="00D06A2F" w:rsidRDefault="00D06A2F" w:rsidP="00872B1A">
      <w:pPr>
        <w:numPr>
          <w:ilvl w:val="0"/>
          <w:numId w:val="28"/>
        </w:numPr>
        <w:jc w:val="both"/>
        <w:rPr>
          <w:rFonts w:ascii="Times New Roman" w:eastAsia="Times New Roman" w:hAnsi="Times New Roman"/>
          <w:b/>
          <w:i/>
          <w:sz w:val="24"/>
          <w:szCs w:val="24"/>
          <w:u w:val="single"/>
          <w:lang w:eastAsia="hu-HU"/>
        </w:rPr>
      </w:pPr>
      <w:r>
        <w:rPr>
          <w:rFonts w:ascii="Times New Roman" w:eastAsia="Times New Roman" w:hAnsi="Times New Roman"/>
          <w:b/>
          <w:i/>
          <w:sz w:val="24"/>
          <w:szCs w:val="24"/>
          <w:u w:val="single"/>
          <w:lang w:eastAsia="hu-HU"/>
        </w:rPr>
        <w:t>Fizetéskönnyítés</w:t>
      </w:r>
    </w:p>
    <w:p w14:paraId="321D4AE7" w14:textId="77777777" w:rsidR="00D06A2F" w:rsidRDefault="00D06A2F" w:rsidP="004A51A8">
      <w:pPr>
        <w:jc w:val="both"/>
        <w:rPr>
          <w:rFonts w:ascii="Times New Roman" w:hAnsi="Times New Roman"/>
          <w:sz w:val="24"/>
          <w:szCs w:val="24"/>
          <w:lang w:eastAsia="hu-HU"/>
        </w:rPr>
      </w:pPr>
    </w:p>
    <w:p w14:paraId="28CF4E4B" w14:textId="32E3ABB9" w:rsidR="00507270" w:rsidRDefault="00A6161D" w:rsidP="004A51A8">
      <w:pPr>
        <w:ind w:firstLine="360"/>
        <w:jc w:val="both"/>
        <w:rPr>
          <w:rFonts w:ascii="Times New Roman" w:eastAsia="Times New Roman" w:hAnsi="Times New Roman"/>
          <w:sz w:val="24"/>
          <w:szCs w:val="24"/>
          <w:lang w:eastAsia="hu-HU"/>
        </w:rPr>
      </w:pPr>
      <w:r w:rsidRPr="00A6161D">
        <w:rPr>
          <w:rFonts w:ascii="Times New Roman" w:eastAsia="Times New Roman" w:hAnsi="Times New Roman"/>
          <w:sz w:val="24"/>
          <w:szCs w:val="24"/>
          <w:lang w:eastAsia="hu-HU"/>
        </w:rPr>
        <w:t>A</w:t>
      </w:r>
      <w:r>
        <w:rPr>
          <w:rFonts w:ascii="Times New Roman" w:eastAsia="Times New Roman" w:hAnsi="Times New Roman"/>
          <w:sz w:val="24"/>
          <w:szCs w:val="24"/>
          <w:lang w:eastAsia="hu-HU"/>
        </w:rPr>
        <w:t>z adózás rendjéről szóló törvény rendelkezik a méltányosság intézményéről, mely szerint azokban az esetekben, ahol az adótartozás megfizetése ellehetetlenítené a vállalkozást, illetve súlyosan veszélyeztetné az adózó és a vele egy háztartásban élők megélhetését, az adóhatóság mérlegelési jogkörében köteles méltányosan eljárni. Ezért azokban az</w:t>
      </w:r>
      <w:r w:rsidRPr="00A6161D">
        <w:rPr>
          <w:rFonts w:ascii="Times New Roman" w:eastAsia="Times New Roman" w:hAnsi="Times New Roman"/>
          <w:sz w:val="24"/>
          <w:szCs w:val="24"/>
          <w:lang w:eastAsia="hu-HU"/>
        </w:rPr>
        <w:t xml:space="preserve"> esetekben, ahol a törvényben meghatározott feltételek fennállnak az adóhatóság </w:t>
      </w:r>
      <w:proofErr w:type="spellStart"/>
      <w:r w:rsidRPr="00A6161D">
        <w:rPr>
          <w:rFonts w:ascii="Times New Roman" w:eastAsia="Times New Roman" w:hAnsi="Times New Roman"/>
          <w:sz w:val="24"/>
          <w:szCs w:val="24"/>
          <w:lang w:eastAsia="hu-HU"/>
        </w:rPr>
        <w:t>méltányosságot</w:t>
      </w:r>
      <w:proofErr w:type="spellEnd"/>
      <w:r w:rsidRPr="00A6161D">
        <w:rPr>
          <w:rFonts w:ascii="Times New Roman" w:eastAsia="Times New Roman" w:hAnsi="Times New Roman"/>
          <w:sz w:val="24"/>
          <w:szCs w:val="24"/>
          <w:lang w:eastAsia="hu-HU"/>
        </w:rPr>
        <w:t xml:space="preserve"> gyakorolhat – illetve bizonyos esetekben köteles gyakorolni -</w:t>
      </w:r>
      <w:r>
        <w:rPr>
          <w:rFonts w:ascii="Times New Roman" w:eastAsia="Times New Roman" w:hAnsi="Times New Roman"/>
          <w:sz w:val="24"/>
          <w:szCs w:val="24"/>
          <w:lang w:eastAsia="hu-HU"/>
        </w:rPr>
        <w:t>, és az adótartozást mérsékelheti</w:t>
      </w:r>
      <w:r w:rsidRPr="00A6161D">
        <w:rPr>
          <w:rFonts w:ascii="Times New Roman" w:eastAsia="Times New Roman" w:hAnsi="Times New Roman"/>
          <w:sz w:val="24"/>
          <w:szCs w:val="24"/>
          <w:lang w:eastAsia="hu-HU"/>
        </w:rPr>
        <w:t xml:space="preserve">, vagy az adózó számára </w:t>
      </w:r>
      <w:r>
        <w:rPr>
          <w:rFonts w:ascii="Times New Roman" w:eastAsia="Times New Roman" w:hAnsi="Times New Roman"/>
          <w:sz w:val="24"/>
          <w:szCs w:val="24"/>
          <w:lang w:eastAsia="hu-HU"/>
        </w:rPr>
        <w:t xml:space="preserve">meghatározott </w:t>
      </w:r>
      <w:r w:rsidRPr="00A6161D">
        <w:rPr>
          <w:rFonts w:ascii="Times New Roman" w:eastAsia="Times New Roman" w:hAnsi="Times New Roman"/>
          <w:sz w:val="24"/>
          <w:szCs w:val="24"/>
          <w:lang w:eastAsia="hu-HU"/>
        </w:rPr>
        <w:t>feltételek fennállása</w:t>
      </w:r>
      <w:r>
        <w:rPr>
          <w:rFonts w:ascii="Times New Roman" w:eastAsia="Times New Roman" w:hAnsi="Times New Roman"/>
          <w:sz w:val="24"/>
          <w:szCs w:val="24"/>
          <w:lang w:eastAsia="hu-HU"/>
        </w:rPr>
        <w:t xml:space="preserve"> esetén</w:t>
      </w:r>
      <w:r w:rsidRPr="00A6161D">
        <w:rPr>
          <w:rFonts w:ascii="Times New Roman" w:eastAsia="Times New Roman" w:hAnsi="Times New Roman"/>
          <w:sz w:val="24"/>
          <w:szCs w:val="24"/>
          <w:lang w:eastAsia="hu-HU"/>
        </w:rPr>
        <w:t xml:space="preserve"> fizetési könnyítést engedélyez</w:t>
      </w:r>
      <w:r>
        <w:rPr>
          <w:rFonts w:ascii="Times New Roman" w:eastAsia="Times New Roman" w:hAnsi="Times New Roman"/>
          <w:sz w:val="24"/>
          <w:szCs w:val="24"/>
          <w:lang w:eastAsia="hu-HU"/>
        </w:rPr>
        <w:t>het</w:t>
      </w:r>
      <w:r w:rsidRPr="00A6161D">
        <w:rPr>
          <w:rFonts w:ascii="Times New Roman" w:eastAsia="Times New Roman" w:hAnsi="Times New Roman"/>
          <w:sz w:val="24"/>
          <w:szCs w:val="24"/>
          <w:lang w:eastAsia="hu-HU"/>
        </w:rPr>
        <w:t xml:space="preserve">. </w:t>
      </w:r>
    </w:p>
    <w:p w14:paraId="33FB6CF0" w14:textId="679171DE" w:rsidR="00A6161D" w:rsidRDefault="00507270" w:rsidP="00507270">
      <w:pPr>
        <w:ind w:firstLine="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2020. évben a koronavírus járvány hatására a fizetéskönnyítés szabályai és feltételei is megváltoztak, ugyanis a Kormányrendelet értelmében ú</w:t>
      </w:r>
      <w:r w:rsidRPr="00507270">
        <w:rPr>
          <w:rFonts w:ascii="Times New Roman" w:eastAsia="Times New Roman" w:hAnsi="Times New Roman"/>
          <w:sz w:val="24"/>
          <w:szCs w:val="24"/>
          <w:lang w:eastAsia="hu-HU"/>
        </w:rPr>
        <w:t>j</w:t>
      </w:r>
      <w:r w:rsidR="00AF5B18">
        <w:rPr>
          <w:rFonts w:ascii="Times New Roman" w:eastAsia="Times New Roman" w:hAnsi="Times New Roman"/>
          <w:sz w:val="24"/>
          <w:szCs w:val="24"/>
          <w:lang w:eastAsia="hu-HU"/>
        </w:rPr>
        <w:t>,</w:t>
      </w:r>
      <w:r w:rsidRPr="00507270">
        <w:rPr>
          <w:rFonts w:ascii="Times New Roman" w:eastAsia="Times New Roman" w:hAnsi="Times New Roman"/>
          <w:sz w:val="24"/>
          <w:szCs w:val="24"/>
          <w:lang w:eastAsia="hu-HU"/>
        </w:rPr>
        <w:t xml:space="preserve"> speciális és ing</w:t>
      </w:r>
      <w:r>
        <w:rPr>
          <w:rFonts w:ascii="Times New Roman" w:eastAsia="Times New Roman" w:hAnsi="Times New Roman"/>
          <w:sz w:val="24"/>
          <w:szCs w:val="24"/>
          <w:lang w:eastAsia="hu-HU"/>
        </w:rPr>
        <w:t>yenes fizetési könnyítést vehett</w:t>
      </w:r>
      <w:r w:rsidRPr="00507270">
        <w:rPr>
          <w:rFonts w:ascii="Times New Roman" w:eastAsia="Times New Roman" w:hAnsi="Times New Roman"/>
          <w:sz w:val="24"/>
          <w:szCs w:val="24"/>
          <w:lang w:eastAsia="hu-HU"/>
        </w:rPr>
        <w:t>ek igénybe a koronavírus-járvány miatt bajba jutott adózók. A veszélyhelyzet megszűnését követő harmincad</w:t>
      </w:r>
      <w:r w:rsidR="00AF5B18">
        <w:rPr>
          <w:rFonts w:ascii="Times New Roman" w:eastAsia="Times New Roman" w:hAnsi="Times New Roman"/>
          <w:sz w:val="24"/>
          <w:szCs w:val="24"/>
          <w:lang w:eastAsia="hu-HU"/>
        </w:rPr>
        <w:t xml:space="preserve">ik napig előterjesztett kérelmet </w:t>
      </w:r>
      <w:r w:rsidRPr="00507270">
        <w:rPr>
          <w:rFonts w:ascii="Times New Roman" w:eastAsia="Times New Roman" w:hAnsi="Times New Roman"/>
          <w:sz w:val="24"/>
          <w:szCs w:val="24"/>
          <w:lang w:eastAsia="hu-HU"/>
        </w:rPr>
        <w:t>mindenki részére illetékmentes</w:t>
      </w:r>
      <w:r>
        <w:rPr>
          <w:rFonts w:ascii="Times New Roman" w:eastAsia="Times New Roman" w:hAnsi="Times New Roman"/>
          <w:sz w:val="24"/>
          <w:szCs w:val="24"/>
          <w:lang w:eastAsia="hu-HU"/>
        </w:rPr>
        <w:t>sé tették</w:t>
      </w:r>
      <w:r w:rsidRPr="00507270">
        <w:rPr>
          <w:rFonts w:ascii="Times New Roman" w:eastAsia="Times New Roman" w:hAnsi="Times New Roman"/>
          <w:sz w:val="24"/>
          <w:szCs w:val="24"/>
          <w:lang w:eastAsia="hu-HU"/>
        </w:rPr>
        <w:t xml:space="preserve">, amelyben a veszélyhelyzetre hivatkozással 12 havi részletfizetés vagy 6 havi pótlékmentes fizetési halasztás </w:t>
      </w:r>
      <w:r>
        <w:rPr>
          <w:rFonts w:ascii="Times New Roman" w:eastAsia="Times New Roman" w:hAnsi="Times New Roman"/>
          <w:sz w:val="24"/>
          <w:szCs w:val="24"/>
          <w:lang w:eastAsia="hu-HU"/>
        </w:rPr>
        <w:t xml:space="preserve">lehetett </w:t>
      </w:r>
      <w:r w:rsidRPr="00507270">
        <w:rPr>
          <w:rFonts w:ascii="Times New Roman" w:eastAsia="Times New Roman" w:hAnsi="Times New Roman"/>
          <w:sz w:val="24"/>
          <w:szCs w:val="24"/>
          <w:lang w:eastAsia="hu-HU"/>
        </w:rPr>
        <w:t>kér</w:t>
      </w:r>
      <w:r>
        <w:rPr>
          <w:rFonts w:ascii="Times New Roman" w:eastAsia="Times New Roman" w:hAnsi="Times New Roman"/>
          <w:sz w:val="24"/>
          <w:szCs w:val="24"/>
          <w:lang w:eastAsia="hu-HU"/>
        </w:rPr>
        <w:t>ni</w:t>
      </w:r>
      <w:r w:rsidRPr="00507270">
        <w:rPr>
          <w:rFonts w:ascii="Times New Roman" w:eastAsia="Times New Roman" w:hAnsi="Times New Roman"/>
          <w:sz w:val="24"/>
          <w:szCs w:val="24"/>
          <w:lang w:eastAsia="hu-HU"/>
        </w:rPr>
        <w:t xml:space="preserve"> minden adófajtára. A fizetési könnyítés</w:t>
      </w:r>
      <w:r w:rsidR="00AF5B18">
        <w:rPr>
          <w:rFonts w:ascii="Times New Roman" w:eastAsia="Times New Roman" w:hAnsi="Times New Roman"/>
          <w:sz w:val="24"/>
          <w:szCs w:val="24"/>
          <w:lang w:eastAsia="hu-HU"/>
        </w:rPr>
        <w:t>t</w:t>
      </w:r>
      <w:r w:rsidRPr="00507270">
        <w:rPr>
          <w:rFonts w:ascii="Times New Roman" w:eastAsia="Times New Roman" w:hAnsi="Times New Roman"/>
          <w:sz w:val="24"/>
          <w:szCs w:val="24"/>
          <w:lang w:eastAsia="hu-HU"/>
        </w:rPr>
        <w:t xml:space="preserve"> 5 millió forint t</w:t>
      </w:r>
      <w:r w:rsidR="00AF5B18">
        <w:rPr>
          <w:rFonts w:ascii="Times New Roman" w:eastAsia="Times New Roman" w:hAnsi="Times New Roman"/>
          <w:sz w:val="24"/>
          <w:szCs w:val="24"/>
          <w:lang w:eastAsia="hu-HU"/>
        </w:rPr>
        <w:t>artozásig</w:t>
      </w:r>
      <w:r>
        <w:rPr>
          <w:rFonts w:ascii="Times New Roman" w:eastAsia="Times New Roman" w:hAnsi="Times New Roman"/>
          <w:sz w:val="24"/>
          <w:szCs w:val="24"/>
          <w:lang w:eastAsia="hu-HU"/>
        </w:rPr>
        <w:t xml:space="preserve"> egy alkalommal vehették </w:t>
      </w:r>
      <w:r w:rsidRPr="00507270">
        <w:rPr>
          <w:rFonts w:ascii="Times New Roman" w:eastAsia="Times New Roman" w:hAnsi="Times New Roman"/>
          <w:sz w:val="24"/>
          <w:szCs w:val="24"/>
          <w:lang w:eastAsia="hu-HU"/>
        </w:rPr>
        <w:t>igénybe</w:t>
      </w:r>
      <w:r>
        <w:rPr>
          <w:rFonts w:ascii="Times New Roman" w:eastAsia="Times New Roman" w:hAnsi="Times New Roman"/>
          <w:sz w:val="24"/>
          <w:szCs w:val="24"/>
          <w:lang w:eastAsia="hu-HU"/>
        </w:rPr>
        <w:t xml:space="preserve"> az adózók</w:t>
      </w:r>
      <w:r w:rsidRPr="00507270">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w:t>
      </w:r>
      <w:r w:rsidRPr="00507270">
        <w:rPr>
          <w:rFonts w:ascii="Times New Roman" w:eastAsia="Times New Roman" w:hAnsi="Times New Roman"/>
          <w:sz w:val="24"/>
          <w:szCs w:val="24"/>
          <w:lang w:eastAsia="hu-HU"/>
        </w:rPr>
        <w:t>Az adóhatóság a nem természetes személy adózónak a veszélyhelyzet megszűnését követő harmincadik napig előterjesztett kérelme alapján, az őt terhelő adótartozást egy alkalommal, legfeljebb 20%-kal, de 5 millió forintot meg nem haladóan mérsék</w:t>
      </w:r>
      <w:r>
        <w:rPr>
          <w:rFonts w:ascii="Times New Roman" w:eastAsia="Times New Roman" w:hAnsi="Times New Roman"/>
          <w:sz w:val="24"/>
          <w:szCs w:val="24"/>
          <w:lang w:eastAsia="hu-HU"/>
        </w:rPr>
        <w:t>e</w:t>
      </w:r>
      <w:r w:rsidR="00503F23">
        <w:rPr>
          <w:rFonts w:ascii="Times New Roman" w:eastAsia="Times New Roman" w:hAnsi="Times New Roman"/>
          <w:sz w:val="24"/>
          <w:szCs w:val="24"/>
          <w:lang w:eastAsia="hu-HU"/>
        </w:rPr>
        <w:t>l</w:t>
      </w:r>
      <w:r>
        <w:rPr>
          <w:rFonts w:ascii="Times New Roman" w:eastAsia="Times New Roman" w:hAnsi="Times New Roman"/>
          <w:sz w:val="24"/>
          <w:szCs w:val="24"/>
          <w:lang w:eastAsia="hu-HU"/>
        </w:rPr>
        <w:t>hette</w:t>
      </w:r>
      <w:r w:rsidRPr="00507270">
        <w:rPr>
          <w:rFonts w:ascii="Times New Roman" w:eastAsia="Times New Roman" w:hAnsi="Times New Roman"/>
          <w:sz w:val="24"/>
          <w:szCs w:val="24"/>
          <w:lang w:eastAsia="hu-HU"/>
        </w:rPr>
        <w:t>, amennyiben a kérelmező gazdasági tevékenységét - a veszélyhelyzetre visszavezethetően – az adótartozás megfizetése ellehetetlenítené. A mérséklés</w:t>
      </w:r>
      <w:r w:rsidR="00AF5B18">
        <w:rPr>
          <w:rFonts w:ascii="Times New Roman" w:eastAsia="Times New Roman" w:hAnsi="Times New Roman"/>
          <w:sz w:val="24"/>
          <w:szCs w:val="24"/>
          <w:lang w:eastAsia="hu-HU"/>
        </w:rPr>
        <w:t>t</w:t>
      </w:r>
      <w:r w:rsidRPr="00507270">
        <w:rPr>
          <w:rFonts w:ascii="Times New Roman" w:eastAsia="Times New Roman" w:hAnsi="Times New Roman"/>
          <w:sz w:val="24"/>
          <w:szCs w:val="24"/>
          <w:lang w:eastAsia="hu-HU"/>
        </w:rPr>
        <w:t xml:space="preserve"> egy adónem tekintetében </w:t>
      </w:r>
      <w:r>
        <w:rPr>
          <w:rFonts w:ascii="Times New Roman" w:eastAsia="Times New Roman" w:hAnsi="Times New Roman"/>
          <w:sz w:val="24"/>
          <w:szCs w:val="24"/>
          <w:lang w:eastAsia="hu-HU"/>
        </w:rPr>
        <w:t xml:space="preserve">lehetett </w:t>
      </w:r>
      <w:r w:rsidRPr="00507270">
        <w:rPr>
          <w:rFonts w:ascii="Times New Roman" w:eastAsia="Times New Roman" w:hAnsi="Times New Roman"/>
          <w:sz w:val="24"/>
          <w:szCs w:val="24"/>
          <w:lang w:eastAsia="hu-HU"/>
        </w:rPr>
        <w:t>kérelmez</w:t>
      </w:r>
      <w:r>
        <w:rPr>
          <w:rFonts w:ascii="Times New Roman" w:eastAsia="Times New Roman" w:hAnsi="Times New Roman"/>
          <w:sz w:val="24"/>
          <w:szCs w:val="24"/>
          <w:lang w:eastAsia="hu-HU"/>
        </w:rPr>
        <w:t>ni. A rendelkezések hatására a f</w:t>
      </w:r>
      <w:r w:rsidRPr="00507270">
        <w:rPr>
          <w:rFonts w:ascii="Times New Roman" w:eastAsia="Times New Roman" w:hAnsi="Times New Roman"/>
          <w:sz w:val="24"/>
          <w:szCs w:val="24"/>
          <w:lang w:eastAsia="hu-HU"/>
        </w:rPr>
        <w:t xml:space="preserve">izetési könnyítések benyújtása az adózók részéről </w:t>
      </w:r>
      <w:r w:rsidR="00FE2F19">
        <w:rPr>
          <w:rFonts w:ascii="Times New Roman" w:eastAsia="Times New Roman" w:hAnsi="Times New Roman"/>
          <w:sz w:val="24"/>
          <w:szCs w:val="24"/>
          <w:lang w:eastAsia="hu-HU"/>
        </w:rPr>
        <w:t>– a várttal ellentétben - nem</w:t>
      </w:r>
      <w:r w:rsidRPr="00507270">
        <w:rPr>
          <w:rFonts w:ascii="Times New Roman" w:eastAsia="Times New Roman" w:hAnsi="Times New Roman"/>
          <w:sz w:val="24"/>
          <w:szCs w:val="24"/>
          <w:lang w:eastAsia="hu-HU"/>
        </w:rPr>
        <w:t xml:space="preserve"> </w:t>
      </w:r>
      <w:r w:rsidR="00FE2F19">
        <w:rPr>
          <w:rFonts w:ascii="Times New Roman" w:eastAsia="Times New Roman" w:hAnsi="Times New Roman"/>
          <w:sz w:val="24"/>
          <w:szCs w:val="24"/>
          <w:lang w:eastAsia="hu-HU"/>
        </w:rPr>
        <w:t>s</w:t>
      </w:r>
      <w:r w:rsidRPr="00507270">
        <w:rPr>
          <w:rFonts w:ascii="Times New Roman" w:eastAsia="Times New Roman" w:hAnsi="Times New Roman"/>
          <w:sz w:val="24"/>
          <w:szCs w:val="24"/>
          <w:lang w:eastAsia="hu-HU"/>
        </w:rPr>
        <w:t>zaporodott</w:t>
      </w:r>
      <w:r w:rsidR="00FE2F19">
        <w:rPr>
          <w:rFonts w:ascii="Times New Roman" w:eastAsia="Times New Roman" w:hAnsi="Times New Roman"/>
          <w:sz w:val="24"/>
          <w:szCs w:val="24"/>
          <w:lang w:eastAsia="hu-HU"/>
        </w:rPr>
        <w:t xml:space="preserve"> meg jelentősen.</w:t>
      </w:r>
      <w:r w:rsidRPr="00507270">
        <w:rPr>
          <w:rFonts w:ascii="Times New Roman" w:eastAsia="Times New Roman" w:hAnsi="Times New Roman"/>
          <w:sz w:val="24"/>
          <w:szCs w:val="24"/>
          <w:lang w:eastAsia="hu-HU"/>
        </w:rPr>
        <w:t xml:space="preserve"> Méltányosság – a veszélyhelyzetre való hivatkozással – nem</w:t>
      </w:r>
      <w:r>
        <w:rPr>
          <w:rFonts w:ascii="Times New Roman" w:eastAsia="Times New Roman" w:hAnsi="Times New Roman"/>
          <w:sz w:val="24"/>
          <w:szCs w:val="24"/>
          <w:lang w:eastAsia="hu-HU"/>
        </w:rPr>
        <w:t xml:space="preserve"> érkezett, így adóelen</w:t>
      </w:r>
      <w:r w:rsidR="00503F23">
        <w:rPr>
          <w:rFonts w:ascii="Times New Roman" w:eastAsia="Times New Roman" w:hAnsi="Times New Roman"/>
          <w:sz w:val="24"/>
          <w:szCs w:val="24"/>
          <w:lang w:eastAsia="hu-HU"/>
        </w:rPr>
        <w:t>gedésről beszámolni nem tudunk.</w:t>
      </w:r>
    </w:p>
    <w:p w14:paraId="51CA42B7" w14:textId="576E43FD" w:rsidR="00BA4AB1" w:rsidRDefault="00BA4AB1" w:rsidP="00507270">
      <w:pPr>
        <w:ind w:firstLine="360"/>
        <w:jc w:val="both"/>
        <w:rPr>
          <w:rFonts w:ascii="Times New Roman" w:eastAsia="Times New Roman" w:hAnsi="Times New Roman"/>
          <w:sz w:val="24"/>
          <w:szCs w:val="24"/>
          <w:lang w:eastAsia="hu-HU"/>
        </w:rPr>
      </w:pPr>
    </w:p>
    <w:p w14:paraId="3C333520" w14:textId="1389DBE7" w:rsidR="00BA4AB1" w:rsidRDefault="00BA4AB1" w:rsidP="00507270">
      <w:pPr>
        <w:ind w:firstLine="360"/>
        <w:jc w:val="both"/>
        <w:rPr>
          <w:rFonts w:ascii="Times New Roman" w:eastAsia="Times New Roman" w:hAnsi="Times New Roman"/>
          <w:sz w:val="24"/>
          <w:szCs w:val="24"/>
          <w:lang w:eastAsia="hu-HU"/>
        </w:rPr>
      </w:pPr>
    </w:p>
    <w:p w14:paraId="2AC5E724" w14:textId="11C06B04" w:rsidR="00BA4AB1" w:rsidRDefault="00BA4AB1" w:rsidP="00507270">
      <w:pPr>
        <w:ind w:firstLine="360"/>
        <w:jc w:val="both"/>
        <w:rPr>
          <w:rFonts w:ascii="Times New Roman" w:eastAsia="Times New Roman" w:hAnsi="Times New Roman"/>
          <w:sz w:val="24"/>
          <w:szCs w:val="24"/>
          <w:lang w:eastAsia="hu-HU"/>
        </w:rPr>
      </w:pPr>
    </w:p>
    <w:p w14:paraId="1DD63E70" w14:textId="49796955" w:rsidR="008B3A73" w:rsidRDefault="008B3A73" w:rsidP="00507270">
      <w:pPr>
        <w:ind w:firstLine="360"/>
        <w:jc w:val="both"/>
        <w:rPr>
          <w:rFonts w:ascii="Times New Roman" w:eastAsia="Times New Roman" w:hAnsi="Times New Roman"/>
          <w:sz w:val="24"/>
          <w:szCs w:val="24"/>
          <w:lang w:eastAsia="hu-HU"/>
        </w:rPr>
      </w:pPr>
    </w:p>
    <w:p w14:paraId="51CABA25" w14:textId="6953F63B" w:rsidR="008B3A73" w:rsidRDefault="008B3A73" w:rsidP="00507270">
      <w:pPr>
        <w:ind w:firstLine="360"/>
        <w:jc w:val="both"/>
        <w:rPr>
          <w:rFonts w:ascii="Times New Roman" w:eastAsia="Times New Roman" w:hAnsi="Times New Roman"/>
          <w:sz w:val="24"/>
          <w:szCs w:val="24"/>
          <w:lang w:eastAsia="hu-HU"/>
        </w:rPr>
      </w:pPr>
    </w:p>
    <w:p w14:paraId="551A18A3" w14:textId="77777777" w:rsidR="008B3A73" w:rsidRDefault="008B3A73" w:rsidP="00507270">
      <w:pPr>
        <w:ind w:firstLine="360"/>
        <w:jc w:val="both"/>
        <w:rPr>
          <w:rFonts w:ascii="Times New Roman" w:eastAsia="Times New Roman" w:hAnsi="Times New Roman"/>
          <w:sz w:val="24"/>
          <w:szCs w:val="24"/>
          <w:lang w:eastAsia="hu-HU"/>
        </w:rPr>
      </w:pPr>
    </w:p>
    <w:p w14:paraId="4F8EF6EC" w14:textId="77777777" w:rsidR="001A4C5D" w:rsidRDefault="001A4C5D" w:rsidP="004A51A8">
      <w:pPr>
        <w:rPr>
          <w:rFonts w:ascii="Times New Roman" w:hAnsi="Times New Roman"/>
          <w:b/>
          <w:sz w:val="24"/>
          <w:szCs w:val="24"/>
          <w:lang w:eastAsia="hu-HU"/>
        </w:rPr>
      </w:pPr>
    </w:p>
    <w:p w14:paraId="3AA39D5E" w14:textId="77777777" w:rsidR="000D0864" w:rsidRPr="000D0864" w:rsidRDefault="000D0864" w:rsidP="00872B1A">
      <w:pPr>
        <w:numPr>
          <w:ilvl w:val="0"/>
          <w:numId w:val="28"/>
        </w:numPr>
        <w:jc w:val="both"/>
        <w:rPr>
          <w:lang w:eastAsia="hu-HU"/>
        </w:rPr>
      </w:pPr>
      <w:r w:rsidRPr="000D0864">
        <w:rPr>
          <w:rFonts w:ascii="Times New Roman" w:eastAsia="Times New Roman" w:hAnsi="Times New Roman"/>
          <w:b/>
          <w:i/>
          <w:sz w:val="24"/>
          <w:szCs w:val="24"/>
          <w:u w:val="single"/>
          <w:lang w:eastAsia="hu-HU"/>
        </w:rPr>
        <w:t>Dolgozóink</w:t>
      </w:r>
    </w:p>
    <w:p w14:paraId="31D8ECA0" w14:textId="77777777" w:rsidR="009D2974" w:rsidRPr="009D2974" w:rsidRDefault="009D2974" w:rsidP="004A51A8">
      <w:pPr>
        <w:ind w:left="720"/>
        <w:rPr>
          <w:rFonts w:ascii="Times New Roman" w:hAnsi="Times New Roman"/>
          <w:sz w:val="24"/>
          <w:szCs w:val="24"/>
          <w:lang w:eastAsia="hu-HU"/>
        </w:rPr>
      </w:pPr>
    </w:p>
    <w:p w14:paraId="69FA88EB" w14:textId="20CBA86C" w:rsidR="00503F23" w:rsidRDefault="00FE2F19" w:rsidP="005479D3">
      <w:pPr>
        <w:ind w:firstLine="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w:t>
      </w:r>
      <w:r w:rsidR="009D2974" w:rsidRPr="009D2974">
        <w:rPr>
          <w:rFonts w:ascii="Times New Roman" w:eastAsia="Times New Roman" w:hAnsi="Times New Roman"/>
          <w:sz w:val="24"/>
          <w:szCs w:val="24"/>
          <w:lang w:eastAsia="hu-HU"/>
        </w:rPr>
        <w:t>nyilvántartott a</w:t>
      </w:r>
      <w:r w:rsidR="00180D34">
        <w:rPr>
          <w:rFonts w:ascii="Times New Roman" w:eastAsia="Times New Roman" w:hAnsi="Times New Roman"/>
          <w:sz w:val="24"/>
          <w:szCs w:val="24"/>
          <w:lang w:eastAsia="hu-HU"/>
        </w:rPr>
        <w:t>dózó</w:t>
      </w:r>
      <w:r w:rsidR="00FB2414">
        <w:rPr>
          <w:rFonts w:ascii="Times New Roman" w:eastAsia="Times New Roman" w:hAnsi="Times New Roman"/>
          <w:sz w:val="24"/>
          <w:szCs w:val="24"/>
          <w:lang w:eastAsia="hu-HU"/>
        </w:rPr>
        <w:t>k</w:t>
      </w:r>
      <w:r w:rsidR="00180D34">
        <w:rPr>
          <w:rFonts w:ascii="Times New Roman" w:eastAsia="Times New Roman" w:hAnsi="Times New Roman"/>
          <w:sz w:val="24"/>
          <w:szCs w:val="24"/>
          <w:lang w:eastAsia="hu-HU"/>
        </w:rPr>
        <w:t xml:space="preserve"> helyi adózásának mindennemű hatósági munkáját, az adóellenőrzéseket, a hátralékkezelést, az adó</w:t>
      </w:r>
      <w:r w:rsidR="00881A41">
        <w:rPr>
          <w:rFonts w:ascii="Times New Roman" w:eastAsia="Times New Roman" w:hAnsi="Times New Roman"/>
          <w:sz w:val="24"/>
          <w:szCs w:val="24"/>
          <w:lang w:eastAsia="hu-HU"/>
        </w:rPr>
        <w:t>k</w:t>
      </w:r>
      <w:r w:rsidR="00180D34">
        <w:rPr>
          <w:rFonts w:ascii="Times New Roman" w:eastAsia="Times New Roman" w:hAnsi="Times New Roman"/>
          <w:sz w:val="24"/>
          <w:szCs w:val="24"/>
          <w:lang w:eastAsia="hu-HU"/>
        </w:rPr>
        <w:t xml:space="preserve"> módjára behajtandó köztartozások kezelését és egyéb hatósági tevékenységek ellátását a jegyző felhatalmazása alapján </w:t>
      </w:r>
      <w:r>
        <w:rPr>
          <w:rFonts w:ascii="Times New Roman" w:eastAsia="Times New Roman" w:hAnsi="Times New Roman"/>
          <w:sz w:val="24"/>
          <w:szCs w:val="24"/>
          <w:lang w:eastAsia="hu-HU"/>
        </w:rPr>
        <w:t>2 fő ügyintéző</w:t>
      </w:r>
      <w:r w:rsidR="00180D34">
        <w:rPr>
          <w:rFonts w:ascii="Times New Roman" w:eastAsia="Times New Roman" w:hAnsi="Times New Roman"/>
          <w:sz w:val="24"/>
          <w:szCs w:val="24"/>
          <w:lang w:eastAsia="hu-HU"/>
        </w:rPr>
        <w:t xml:space="preserve"> látja el</w:t>
      </w:r>
      <w:r w:rsidR="001C5319">
        <w:rPr>
          <w:rFonts w:ascii="Times New Roman" w:eastAsia="Times New Roman" w:hAnsi="Times New Roman"/>
          <w:sz w:val="24"/>
          <w:szCs w:val="24"/>
          <w:lang w:eastAsia="hu-HU"/>
        </w:rPr>
        <w:t>, akik a fentebb említett munkaügyi hagyatéki és anyakö</w:t>
      </w:r>
      <w:r w:rsidR="006C7AF2">
        <w:rPr>
          <w:rFonts w:ascii="Times New Roman" w:eastAsia="Times New Roman" w:hAnsi="Times New Roman"/>
          <w:sz w:val="24"/>
          <w:szCs w:val="24"/>
          <w:lang w:eastAsia="hu-HU"/>
        </w:rPr>
        <w:t>nyv</w:t>
      </w:r>
      <w:r w:rsidR="001C5319">
        <w:rPr>
          <w:rFonts w:ascii="Times New Roman" w:eastAsia="Times New Roman" w:hAnsi="Times New Roman"/>
          <w:sz w:val="24"/>
          <w:szCs w:val="24"/>
          <w:lang w:eastAsia="hu-HU"/>
        </w:rPr>
        <w:t xml:space="preserve">vezető helyettesi feladatokat is </w:t>
      </w:r>
      <w:r w:rsidR="001C5319">
        <w:rPr>
          <w:rFonts w:ascii="Times New Roman" w:eastAsia="Times New Roman" w:hAnsi="Times New Roman"/>
          <w:sz w:val="24"/>
          <w:szCs w:val="24"/>
          <w:lang w:eastAsia="hu-HU"/>
        </w:rPr>
        <w:lastRenderedPageBreak/>
        <w:t xml:space="preserve">végzik az adó mellett. </w:t>
      </w:r>
      <w:r w:rsidR="00180D34">
        <w:rPr>
          <w:rFonts w:ascii="Times New Roman" w:eastAsia="Times New Roman" w:hAnsi="Times New Roman"/>
          <w:sz w:val="24"/>
          <w:szCs w:val="24"/>
          <w:lang w:eastAsia="hu-HU"/>
        </w:rPr>
        <w:t xml:space="preserve"> </w:t>
      </w:r>
      <w:r w:rsidR="009D2974" w:rsidRPr="009D2974">
        <w:rPr>
          <w:rFonts w:ascii="Times New Roman" w:eastAsia="Times New Roman" w:hAnsi="Times New Roman"/>
          <w:sz w:val="24"/>
          <w:szCs w:val="24"/>
          <w:lang w:eastAsia="hu-HU"/>
        </w:rPr>
        <w:t>A</w:t>
      </w:r>
      <w:r w:rsidR="006C7AF2">
        <w:rPr>
          <w:rFonts w:ascii="Times New Roman" w:eastAsia="Times New Roman" w:hAnsi="Times New Roman"/>
          <w:sz w:val="24"/>
          <w:szCs w:val="24"/>
          <w:lang w:eastAsia="hu-HU"/>
        </w:rPr>
        <w:t xml:space="preserve"> </w:t>
      </w:r>
      <w:r w:rsidR="009D2974" w:rsidRPr="009D2974">
        <w:rPr>
          <w:rFonts w:ascii="Times New Roman" w:eastAsia="Times New Roman" w:hAnsi="Times New Roman"/>
          <w:sz w:val="24"/>
          <w:szCs w:val="24"/>
          <w:lang w:eastAsia="hu-HU"/>
        </w:rPr>
        <w:t>dolgozó</w:t>
      </w:r>
      <w:r w:rsidR="006C7AF2">
        <w:rPr>
          <w:rFonts w:ascii="Times New Roman" w:eastAsia="Times New Roman" w:hAnsi="Times New Roman"/>
          <w:sz w:val="24"/>
          <w:szCs w:val="24"/>
          <w:lang w:eastAsia="hu-HU"/>
        </w:rPr>
        <w:t>k</w:t>
      </w:r>
      <w:r w:rsidR="009D2974" w:rsidRPr="009D2974">
        <w:rPr>
          <w:rFonts w:ascii="Times New Roman" w:eastAsia="Times New Roman" w:hAnsi="Times New Roman"/>
          <w:sz w:val="24"/>
          <w:szCs w:val="24"/>
          <w:lang w:eastAsia="hu-HU"/>
        </w:rPr>
        <w:t xml:space="preserve">ra jelentős </w:t>
      </w:r>
      <w:r w:rsidR="00D3671B">
        <w:rPr>
          <w:rFonts w:ascii="Times New Roman" w:eastAsia="Times New Roman" w:hAnsi="Times New Roman"/>
          <w:sz w:val="24"/>
          <w:szCs w:val="24"/>
          <w:lang w:eastAsia="hu-HU"/>
        </w:rPr>
        <w:t>feladatot</w:t>
      </w:r>
      <w:r w:rsidR="009D2974" w:rsidRPr="009D2974">
        <w:rPr>
          <w:rFonts w:ascii="Times New Roman" w:eastAsia="Times New Roman" w:hAnsi="Times New Roman"/>
          <w:sz w:val="24"/>
          <w:szCs w:val="24"/>
          <w:lang w:eastAsia="hu-HU"/>
        </w:rPr>
        <w:t xml:space="preserve"> ró </w:t>
      </w:r>
      <w:r w:rsidR="00180D34">
        <w:rPr>
          <w:rFonts w:ascii="Times New Roman" w:eastAsia="Times New Roman" w:hAnsi="Times New Roman"/>
          <w:sz w:val="24"/>
          <w:szCs w:val="24"/>
          <w:lang w:eastAsia="hu-HU"/>
        </w:rPr>
        <w:t>a</w:t>
      </w:r>
      <w:r w:rsidR="009D2974" w:rsidRPr="009D2974">
        <w:rPr>
          <w:rFonts w:ascii="Times New Roman" w:eastAsia="Times New Roman" w:hAnsi="Times New Roman"/>
          <w:sz w:val="24"/>
          <w:szCs w:val="24"/>
          <w:lang w:eastAsia="hu-HU"/>
        </w:rPr>
        <w:t xml:space="preserve"> fenti feladatok hibátlan és határidőre történő ellátása mellett a folyamatos jogszabályi környezet változása, bonyolultsága, az adózói kör folyamatos bővülése</w:t>
      </w:r>
      <w:r w:rsidR="00AF5B18">
        <w:rPr>
          <w:rFonts w:ascii="Times New Roman" w:eastAsia="Times New Roman" w:hAnsi="Times New Roman"/>
          <w:sz w:val="24"/>
          <w:szCs w:val="24"/>
          <w:lang w:eastAsia="hu-HU"/>
        </w:rPr>
        <w:t>,</w:t>
      </w:r>
      <w:r w:rsidR="009D2974" w:rsidRPr="009D2974">
        <w:rPr>
          <w:rFonts w:ascii="Times New Roman" w:eastAsia="Times New Roman" w:hAnsi="Times New Roman"/>
          <w:sz w:val="24"/>
          <w:szCs w:val="24"/>
          <w:lang w:eastAsia="hu-HU"/>
        </w:rPr>
        <w:t xml:space="preserve"> a technik</w:t>
      </w:r>
      <w:r w:rsidR="00180D34">
        <w:rPr>
          <w:rFonts w:ascii="Times New Roman" w:eastAsia="Times New Roman" w:hAnsi="Times New Roman"/>
          <w:sz w:val="24"/>
          <w:szCs w:val="24"/>
          <w:lang w:eastAsia="hu-HU"/>
        </w:rPr>
        <w:t>ai fejlődés nyomon követése</w:t>
      </w:r>
      <w:r w:rsidR="001A4C5D">
        <w:rPr>
          <w:rFonts w:ascii="Times New Roman" w:eastAsia="Times New Roman" w:hAnsi="Times New Roman"/>
          <w:sz w:val="24"/>
          <w:szCs w:val="24"/>
          <w:lang w:eastAsia="hu-HU"/>
        </w:rPr>
        <w:t>, a folyamatosan bővülő ügyfélforgalom megfelelő kiszolgálása</w:t>
      </w:r>
      <w:r w:rsidR="00D3671B">
        <w:rPr>
          <w:rFonts w:ascii="Times New Roman" w:eastAsia="Times New Roman" w:hAnsi="Times New Roman"/>
          <w:sz w:val="24"/>
          <w:szCs w:val="24"/>
          <w:lang w:eastAsia="hu-HU"/>
        </w:rPr>
        <w:t xml:space="preserve">.  </w:t>
      </w:r>
    </w:p>
    <w:p w14:paraId="4B63948F" w14:textId="6F25DC14" w:rsidR="00503F23" w:rsidRDefault="00503F23" w:rsidP="005479D3">
      <w:pPr>
        <w:ind w:firstLine="360"/>
        <w:jc w:val="both"/>
        <w:rPr>
          <w:rFonts w:ascii="Times New Roman" w:eastAsia="Times New Roman" w:hAnsi="Times New Roman"/>
          <w:sz w:val="24"/>
          <w:szCs w:val="24"/>
          <w:lang w:eastAsia="hu-HU"/>
        </w:rPr>
      </w:pPr>
      <w:r w:rsidRPr="00503F23">
        <w:rPr>
          <w:rFonts w:ascii="Times New Roman" w:eastAsia="Times New Roman" w:hAnsi="Times New Roman"/>
          <w:sz w:val="24"/>
          <w:szCs w:val="24"/>
          <w:lang w:eastAsia="hu-HU"/>
        </w:rPr>
        <w:t xml:space="preserve">A </w:t>
      </w:r>
      <w:r w:rsidR="00AF5B18">
        <w:rPr>
          <w:rFonts w:ascii="Times New Roman" w:eastAsia="Times New Roman" w:hAnsi="Times New Roman"/>
          <w:sz w:val="24"/>
          <w:szCs w:val="24"/>
          <w:lang w:eastAsia="hu-HU"/>
        </w:rPr>
        <w:t>Kormány által</w:t>
      </w:r>
      <w:r>
        <w:rPr>
          <w:rFonts w:ascii="Times New Roman" w:eastAsia="Times New Roman" w:hAnsi="Times New Roman"/>
          <w:sz w:val="24"/>
          <w:szCs w:val="24"/>
          <w:lang w:eastAsia="hu-HU"/>
        </w:rPr>
        <w:t xml:space="preserve"> a veszélyhelyzetre való hivatkozással </w:t>
      </w:r>
      <w:r w:rsidRPr="00503F23">
        <w:rPr>
          <w:rFonts w:ascii="Times New Roman" w:eastAsia="Times New Roman" w:hAnsi="Times New Roman"/>
          <w:sz w:val="24"/>
          <w:szCs w:val="24"/>
          <w:lang w:eastAsia="hu-HU"/>
        </w:rPr>
        <w:t>hozott intézkedések az adózók számára ugyan könnyítéseket tartalmaztak, ugyanakkor jelentősen pl</w:t>
      </w:r>
      <w:r>
        <w:rPr>
          <w:rFonts w:ascii="Times New Roman" w:eastAsia="Times New Roman" w:hAnsi="Times New Roman"/>
          <w:sz w:val="24"/>
          <w:szCs w:val="24"/>
          <w:lang w:eastAsia="hu-HU"/>
        </w:rPr>
        <w:t xml:space="preserve">usz leterheltséget jelentettek az </w:t>
      </w:r>
      <w:r w:rsidRPr="00503F23">
        <w:rPr>
          <w:rFonts w:ascii="Times New Roman" w:eastAsia="Times New Roman" w:hAnsi="Times New Roman"/>
          <w:sz w:val="24"/>
          <w:szCs w:val="24"/>
          <w:lang w:eastAsia="hu-HU"/>
        </w:rPr>
        <w:t xml:space="preserve">Adóügyi Osztály dolgozói számára. A </w:t>
      </w:r>
      <w:proofErr w:type="spellStart"/>
      <w:r w:rsidRPr="00503F23">
        <w:rPr>
          <w:rFonts w:ascii="Times New Roman" w:eastAsia="Times New Roman" w:hAnsi="Times New Roman"/>
          <w:sz w:val="24"/>
          <w:szCs w:val="24"/>
          <w:lang w:eastAsia="hu-HU"/>
        </w:rPr>
        <w:t>home</w:t>
      </w:r>
      <w:proofErr w:type="spellEnd"/>
      <w:r w:rsidRPr="00503F23">
        <w:rPr>
          <w:rFonts w:ascii="Times New Roman" w:eastAsia="Times New Roman" w:hAnsi="Times New Roman"/>
          <w:sz w:val="24"/>
          <w:szCs w:val="24"/>
          <w:lang w:eastAsia="hu-HU"/>
        </w:rPr>
        <w:t xml:space="preserve"> </w:t>
      </w:r>
      <w:proofErr w:type="spellStart"/>
      <w:r w:rsidRPr="00503F23">
        <w:rPr>
          <w:rFonts w:ascii="Times New Roman" w:eastAsia="Times New Roman" w:hAnsi="Times New Roman"/>
          <w:sz w:val="24"/>
          <w:szCs w:val="24"/>
          <w:lang w:eastAsia="hu-HU"/>
        </w:rPr>
        <w:t>office</w:t>
      </w:r>
      <w:proofErr w:type="spellEnd"/>
      <w:r w:rsidR="004F248C">
        <w:rPr>
          <w:rFonts w:ascii="Times New Roman" w:eastAsia="Times New Roman" w:hAnsi="Times New Roman"/>
          <w:sz w:val="24"/>
          <w:szCs w:val="24"/>
          <w:lang w:eastAsia="hu-HU"/>
        </w:rPr>
        <w:t xml:space="preserve"> </w:t>
      </w:r>
      <w:proofErr w:type="gramStart"/>
      <w:r w:rsidR="004F248C">
        <w:rPr>
          <w:rFonts w:ascii="Times New Roman" w:eastAsia="Times New Roman" w:hAnsi="Times New Roman"/>
          <w:sz w:val="24"/>
          <w:szCs w:val="24"/>
          <w:lang w:eastAsia="hu-HU"/>
        </w:rPr>
        <w:t xml:space="preserve">lehetőségével </w:t>
      </w:r>
      <w:r w:rsidRPr="00503F23">
        <w:rPr>
          <w:rFonts w:ascii="Times New Roman" w:eastAsia="Times New Roman" w:hAnsi="Times New Roman"/>
          <w:sz w:val="24"/>
          <w:szCs w:val="24"/>
          <w:lang w:eastAsia="hu-HU"/>
        </w:rPr>
        <w:t xml:space="preserve"> </w:t>
      </w:r>
      <w:r w:rsidR="004F248C">
        <w:rPr>
          <w:rFonts w:ascii="Times New Roman" w:eastAsia="Times New Roman" w:hAnsi="Times New Roman"/>
          <w:sz w:val="24"/>
          <w:szCs w:val="24"/>
          <w:lang w:eastAsia="hu-HU"/>
        </w:rPr>
        <w:t>a</w:t>
      </w:r>
      <w:proofErr w:type="gramEnd"/>
      <w:r w:rsidR="004F248C">
        <w:rPr>
          <w:rFonts w:ascii="Times New Roman" w:eastAsia="Times New Roman" w:hAnsi="Times New Roman"/>
          <w:sz w:val="24"/>
          <w:szCs w:val="24"/>
          <w:lang w:eastAsia="hu-HU"/>
        </w:rPr>
        <w:t xml:space="preserve"> két kolléga </w:t>
      </w:r>
      <w:r w:rsidRPr="00503F23">
        <w:rPr>
          <w:rFonts w:ascii="Times New Roman" w:eastAsia="Times New Roman" w:hAnsi="Times New Roman"/>
          <w:sz w:val="24"/>
          <w:szCs w:val="24"/>
          <w:lang w:eastAsia="hu-HU"/>
        </w:rPr>
        <w:t xml:space="preserve"> </w:t>
      </w:r>
      <w:r w:rsidR="004F248C">
        <w:rPr>
          <w:rFonts w:ascii="Times New Roman" w:eastAsia="Times New Roman" w:hAnsi="Times New Roman"/>
          <w:sz w:val="24"/>
          <w:szCs w:val="24"/>
          <w:lang w:eastAsia="hu-HU"/>
        </w:rPr>
        <w:t>megosztva élt</w:t>
      </w:r>
      <w:r w:rsidRPr="00503F23">
        <w:rPr>
          <w:rFonts w:ascii="Times New Roman" w:eastAsia="Times New Roman" w:hAnsi="Times New Roman"/>
          <w:sz w:val="24"/>
          <w:szCs w:val="24"/>
          <w:lang w:eastAsia="hu-HU"/>
        </w:rPr>
        <w:t>, a 2020-as évben,</w:t>
      </w:r>
      <w:r w:rsidR="004F248C">
        <w:rPr>
          <w:rFonts w:ascii="Times New Roman" w:eastAsia="Times New Roman" w:hAnsi="Times New Roman"/>
          <w:sz w:val="24"/>
          <w:szCs w:val="24"/>
          <w:lang w:eastAsia="hu-HU"/>
        </w:rPr>
        <w:t xml:space="preserve"> annak figyelembe vételével, hogy bár a hivatalban személyes ügyfélforgalom nem lehetett, az irodában is mindig tartózkodott ügyintéző. </w:t>
      </w:r>
      <w:r w:rsidRPr="00503F23">
        <w:rPr>
          <w:rFonts w:ascii="Times New Roman" w:eastAsia="Times New Roman" w:hAnsi="Times New Roman"/>
          <w:sz w:val="24"/>
          <w:szCs w:val="24"/>
          <w:lang w:eastAsia="hu-HU"/>
        </w:rPr>
        <w:t xml:space="preserve"> </w:t>
      </w:r>
      <w:r w:rsidR="004F248C">
        <w:rPr>
          <w:rFonts w:ascii="Times New Roman" w:eastAsia="Times New Roman" w:hAnsi="Times New Roman"/>
          <w:sz w:val="24"/>
          <w:szCs w:val="24"/>
          <w:lang w:eastAsia="hu-HU"/>
        </w:rPr>
        <w:t>Elmondh</w:t>
      </w:r>
      <w:r w:rsidR="001C5319">
        <w:rPr>
          <w:rFonts w:ascii="Times New Roman" w:eastAsia="Times New Roman" w:hAnsi="Times New Roman"/>
          <w:sz w:val="24"/>
          <w:szCs w:val="24"/>
          <w:lang w:eastAsia="hu-HU"/>
        </w:rPr>
        <w:t>a</w:t>
      </w:r>
      <w:r w:rsidR="004F248C">
        <w:rPr>
          <w:rFonts w:ascii="Times New Roman" w:eastAsia="Times New Roman" w:hAnsi="Times New Roman"/>
          <w:sz w:val="24"/>
          <w:szCs w:val="24"/>
          <w:lang w:eastAsia="hu-HU"/>
        </w:rPr>
        <w:t>tó</w:t>
      </w:r>
      <w:r w:rsidRPr="00503F23">
        <w:rPr>
          <w:rFonts w:ascii="Times New Roman" w:eastAsia="Times New Roman" w:hAnsi="Times New Roman"/>
          <w:sz w:val="24"/>
          <w:szCs w:val="24"/>
          <w:lang w:eastAsia="hu-HU"/>
        </w:rPr>
        <w:t>, hogy kollégáink egyre nagyobb gyakorlatot szereznek a munkavégzés ezen formájában</w:t>
      </w:r>
      <w:r w:rsidR="004F248C">
        <w:rPr>
          <w:rFonts w:ascii="Times New Roman" w:eastAsia="Times New Roman" w:hAnsi="Times New Roman"/>
          <w:sz w:val="24"/>
          <w:szCs w:val="24"/>
          <w:lang w:eastAsia="hu-HU"/>
        </w:rPr>
        <w:t xml:space="preserve">, melyben az ASP nagy segítséget jelentett. </w:t>
      </w:r>
      <w:r w:rsidRPr="00503F23">
        <w:rPr>
          <w:rFonts w:ascii="Times New Roman" w:eastAsia="Times New Roman" w:hAnsi="Times New Roman"/>
          <w:sz w:val="24"/>
          <w:szCs w:val="24"/>
          <w:lang w:eastAsia="hu-HU"/>
        </w:rPr>
        <w:t xml:space="preserve">A </w:t>
      </w:r>
      <w:proofErr w:type="spellStart"/>
      <w:r w:rsidRPr="00503F23">
        <w:rPr>
          <w:rFonts w:ascii="Times New Roman" w:eastAsia="Times New Roman" w:hAnsi="Times New Roman"/>
          <w:sz w:val="24"/>
          <w:szCs w:val="24"/>
          <w:lang w:eastAsia="hu-HU"/>
        </w:rPr>
        <w:t>pandémia</w:t>
      </w:r>
      <w:proofErr w:type="spellEnd"/>
      <w:r w:rsidRPr="00503F23">
        <w:rPr>
          <w:rFonts w:ascii="Times New Roman" w:eastAsia="Times New Roman" w:hAnsi="Times New Roman"/>
          <w:sz w:val="24"/>
          <w:szCs w:val="24"/>
          <w:lang w:eastAsia="hu-HU"/>
        </w:rPr>
        <w:t xml:space="preserve"> időszakában, a </w:t>
      </w:r>
      <w:proofErr w:type="spellStart"/>
      <w:r w:rsidRPr="00503F23">
        <w:rPr>
          <w:rFonts w:ascii="Times New Roman" w:eastAsia="Times New Roman" w:hAnsi="Times New Roman"/>
          <w:sz w:val="24"/>
          <w:szCs w:val="24"/>
          <w:lang w:eastAsia="hu-HU"/>
        </w:rPr>
        <w:t>home</w:t>
      </w:r>
      <w:proofErr w:type="spellEnd"/>
      <w:r w:rsidRPr="00503F23">
        <w:rPr>
          <w:rFonts w:ascii="Times New Roman" w:eastAsia="Times New Roman" w:hAnsi="Times New Roman"/>
          <w:sz w:val="24"/>
          <w:szCs w:val="24"/>
          <w:lang w:eastAsia="hu-HU"/>
        </w:rPr>
        <w:t xml:space="preserve"> </w:t>
      </w:r>
      <w:proofErr w:type="spellStart"/>
      <w:r w:rsidRPr="00503F23">
        <w:rPr>
          <w:rFonts w:ascii="Times New Roman" w:eastAsia="Times New Roman" w:hAnsi="Times New Roman"/>
          <w:sz w:val="24"/>
          <w:szCs w:val="24"/>
          <w:lang w:eastAsia="hu-HU"/>
        </w:rPr>
        <w:t>office</w:t>
      </w:r>
      <w:proofErr w:type="spellEnd"/>
      <w:r w:rsidRPr="00503F23">
        <w:rPr>
          <w:rFonts w:ascii="Times New Roman" w:eastAsia="Times New Roman" w:hAnsi="Times New Roman"/>
          <w:sz w:val="24"/>
          <w:szCs w:val="24"/>
          <w:lang w:eastAsia="hu-HU"/>
        </w:rPr>
        <w:t xml:space="preserve"> bevezetésével igen pozitív tapasztalatként éltük meg, hogy a rendszer – tekintettel arra, hogy internet alapú szolgáltatáson alapul – kifejezetten gördülékenyen működött. A Portál az önkormányzati ASP rendszert igénybe vevő önkormányzatok</w:t>
      </w:r>
      <w:r w:rsidR="006C7AF2">
        <w:rPr>
          <w:rFonts w:ascii="Times New Roman" w:eastAsia="Times New Roman" w:hAnsi="Times New Roman"/>
          <w:sz w:val="24"/>
          <w:szCs w:val="24"/>
          <w:lang w:eastAsia="hu-HU"/>
        </w:rPr>
        <w:t>,</w:t>
      </w:r>
      <w:r w:rsidRPr="00503F23">
        <w:rPr>
          <w:rFonts w:ascii="Times New Roman" w:eastAsia="Times New Roman" w:hAnsi="Times New Roman"/>
          <w:sz w:val="24"/>
          <w:szCs w:val="24"/>
          <w:lang w:eastAsia="hu-HU"/>
        </w:rPr>
        <w:t xml:space="preserve"> természetes személy és jogi személy ügyfelei számára egyaránt lehetőséget biztosít a szakrendszeri alkalmazásokhoz kialakított, elektronikusan elérhető szolgáltatások igénybevételére (adóegyenleg lekérdezés, ügykövetés, ügyindítás, bevallások beküldése). Ennek tükrében a kollégák zavartal</w:t>
      </w:r>
      <w:r w:rsidR="006C7AF2">
        <w:rPr>
          <w:rFonts w:ascii="Times New Roman" w:eastAsia="Times New Roman" w:hAnsi="Times New Roman"/>
          <w:sz w:val="24"/>
          <w:szCs w:val="24"/>
          <w:lang w:eastAsia="hu-HU"/>
        </w:rPr>
        <w:t>anul</w:t>
      </w:r>
      <w:r w:rsidRPr="00503F23">
        <w:rPr>
          <w:rFonts w:ascii="Times New Roman" w:eastAsia="Times New Roman" w:hAnsi="Times New Roman"/>
          <w:sz w:val="24"/>
          <w:szCs w:val="24"/>
          <w:lang w:eastAsia="hu-HU"/>
        </w:rPr>
        <w:t xml:space="preserve"> tudtak otthonról dolgozni, a</w:t>
      </w:r>
      <w:r w:rsidR="004F248C">
        <w:rPr>
          <w:rFonts w:ascii="Times New Roman" w:eastAsia="Times New Roman" w:hAnsi="Times New Roman"/>
          <w:sz w:val="24"/>
          <w:szCs w:val="24"/>
          <w:lang w:eastAsia="hu-HU"/>
        </w:rPr>
        <w:t xml:space="preserve"> </w:t>
      </w:r>
      <w:r w:rsidRPr="00503F23">
        <w:rPr>
          <w:rFonts w:ascii="Times New Roman" w:eastAsia="Times New Roman" w:hAnsi="Times New Roman"/>
          <w:sz w:val="24"/>
          <w:szCs w:val="24"/>
          <w:lang w:eastAsia="hu-HU"/>
        </w:rPr>
        <w:t xml:space="preserve">feladatellátás </w:t>
      </w:r>
      <w:proofErr w:type="spellStart"/>
      <w:r w:rsidR="00B127C1" w:rsidRPr="00503F23">
        <w:rPr>
          <w:rFonts w:ascii="Times New Roman" w:eastAsia="Times New Roman" w:hAnsi="Times New Roman"/>
          <w:sz w:val="24"/>
          <w:szCs w:val="24"/>
          <w:lang w:eastAsia="hu-HU"/>
        </w:rPr>
        <w:t>teljes</w:t>
      </w:r>
      <w:r w:rsidR="00B127C1">
        <w:rPr>
          <w:rFonts w:ascii="Times New Roman" w:eastAsia="Times New Roman" w:hAnsi="Times New Roman"/>
          <w:sz w:val="24"/>
          <w:szCs w:val="24"/>
          <w:lang w:eastAsia="hu-HU"/>
        </w:rPr>
        <w:t>körűen</w:t>
      </w:r>
      <w:proofErr w:type="spellEnd"/>
      <w:r w:rsidRPr="00503F23">
        <w:rPr>
          <w:rFonts w:ascii="Times New Roman" w:eastAsia="Times New Roman" w:hAnsi="Times New Roman"/>
          <w:sz w:val="24"/>
          <w:szCs w:val="24"/>
          <w:lang w:eastAsia="hu-HU"/>
        </w:rPr>
        <w:t xml:space="preserve"> biztosított volt. A hivatali személyes ügyintézés felfüggesztésével előtérbe került az online működés, az ügyfelek tájékoztatása, segítségnyújtás elsősorban email </w:t>
      </w:r>
      <w:proofErr w:type="gramStart"/>
      <w:r w:rsidRPr="00503F23">
        <w:rPr>
          <w:rFonts w:ascii="Times New Roman" w:eastAsia="Times New Roman" w:hAnsi="Times New Roman"/>
          <w:sz w:val="24"/>
          <w:szCs w:val="24"/>
          <w:lang w:eastAsia="hu-HU"/>
        </w:rPr>
        <w:t>formájában</w:t>
      </w:r>
      <w:proofErr w:type="gramEnd"/>
      <w:r w:rsidRPr="00503F23">
        <w:rPr>
          <w:rFonts w:ascii="Times New Roman" w:eastAsia="Times New Roman" w:hAnsi="Times New Roman"/>
          <w:sz w:val="24"/>
          <w:szCs w:val="24"/>
          <w:lang w:eastAsia="hu-HU"/>
        </w:rPr>
        <w:t xml:space="preserve"> illetve telefonon valósult meg. Ügyfeleink visszajelzéséből azt a konzekvenciát vonhatjuk le, hogy az adóztatással kapcsolatos feladatok ellátása </w:t>
      </w:r>
      <w:r w:rsidR="004F248C">
        <w:rPr>
          <w:rFonts w:ascii="Times New Roman" w:eastAsia="Times New Roman" w:hAnsi="Times New Roman"/>
          <w:sz w:val="24"/>
          <w:szCs w:val="24"/>
          <w:lang w:eastAsia="hu-HU"/>
        </w:rPr>
        <w:t>a lehetőségekhez m</w:t>
      </w:r>
      <w:r w:rsidR="001C5319">
        <w:rPr>
          <w:rFonts w:ascii="Times New Roman" w:eastAsia="Times New Roman" w:hAnsi="Times New Roman"/>
          <w:sz w:val="24"/>
          <w:szCs w:val="24"/>
          <w:lang w:eastAsia="hu-HU"/>
        </w:rPr>
        <w:t>é</w:t>
      </w:r>
      <w:r w:rsidR="004F248C">
        <w:rPr>
          <w:rFonts w:ascii="Times New Roman" w:eastAsia="Times New Roman" w:hAnsi="Times New Roman"/>
          <w:sz w:val="24"/>
          <w:szCs w:val="24"/>
          <w:lang w:eastAsia="hu-HU"/>
        </w:rPr>
        <w:t xml:space="preserve">rten </w:t>
      </w:r>
      <w:r w:rsidRPr="00503F23">
        <w:rPr>
          <w:rFonts w:ascii="Times New Roman" w:eastAsia="Times New Roman" w:hAnsi="Times New Roman"/>
          <w:sz w:val="24"/>
          <w:szCs w:val="24"/>
          <w:lang w:eastAsia="hu-HU"/>
        </w:rPr>
        <w:t>rendezetten</w:t>
      </w:r>
      <w:r w:rsidR="004F248C">
        <w:rPr>
          <w:rFonts w:ascii="Times New Roman" w:eastAsia="Times New Roman" w:hAnsi="Times New Roman"/>
          <w:sz w:val="24"/>
          <w:szCs w:val="24"/>
          <w:lang w:eastAsia="hu-HU"/>
        </w:rPr>
        <w:t xml:space="preserve"> </w:t>
      </w:r>
      <w:r w:rsidRPr="00503F23">
        <w:rPr>
          <w:rFonts w:ascii="Times New Roman" w:eastAsia="Times New Roman" w:hAnsi="Times New Roman"/>
          <w:sz w:val="24"/>
          <w:szCs w:val="24"/>
          <w:lang w:eastAsia="hu-HU"/>
        </w:rPr>
        <w:t xml:space="preserve">megtörtént. </w:t>
      </w:r>
      <w:r w:rsidR="001C5319">
        <w:rPr>
          <w:rFonts w:ascii="Times New Roman" w:eastAsia="Times New Roman" w:hAnsi="Times New Roman"/>
          <w:sz w:val="24"/>
          <w:szCs w:val="24"/>
          <w:lang w:eastAsia="hu-HU"/>
        </w:rPr>
        <w:t xml:space="preserve">A </w:t>
      </w:r>
      <w:proofErr w:type="spellStart"/>
      <w:r w:rsidR="001C5319">
        <w:rPr>
          <w:rFonts w:ascii="Times New Roman" w:eastAsia="Times New Roman" w:hAnsi="Times New Roman"/>
          <w:sz w:val="24"/>
          <w:szCs w:val="24"/>
          <w:lang w:eastAsia="hu-HU"/>
        </w:rPr>
        <w:t>home</w:t>
      </w:r>
      <w:proofErr w:type="spellEnd"/>
      <w:r w:rsidR="001C5319">
        <w:rPr>
          <w:rFonts w:ascii="Times New Roman" w:eastAsia="Times New Roman" w:hAnsi="Times New Roman"/>
          <w:sz w:val="24"/>
          <w:szCs w:val="24"/>
          <w:lang w:eastAsia="hu-HU"/>
        </w:rPr>
        <w:t xml:space="preserve"> </w:t>
      </w:r>
      <w:proofErr w:type="spellStart"/>
      <w:r w:rsidR="001C5319">
        <w:rPr>
          <w:rFonts w:ascii="Times New Roman" w:eastAsia="Times New Roman" w:hAnsi="Times New Roman"/>
          <w:sz w:val="24"/>
          <w:szCs w:val="24"/>
          <w:lang w:eastAsia="hu-HU"/>
        </w:rPr>
        <w:t>office</w:t>
      </w:r>
      <w:proofErr w:type="spellEnd"/>
      <w:r w:rsidR="001C5319">
        <w:rPr>
          <w:rFonts w:ascii="Times New Roman" w:eastAsia="Times New Roman" w:hAnsi="Times New Roman"/>
          <w:sz w:val="24"/>
          <w:szCs w:val="24"/>
          <w:lang w:eastAsia="hu-HU"/>
        </w:rPr>
        <w:t xml:space="preserve"> és az ügyfélfogadás felfüggesztése</w:t>
      </w:r>
      <w:r w:rsidRPr="00503F23">
        <w:rPr>
          <w:rFonts w:ascii="Times New Roman" w:eastAsia="Times New Roman" w:hAnsi="Times New Roman"/>
          <w:sz w:val="24"/>
          <w:szCs w:val="24"/>
          <w:lang w:eastAsia="hu-HU"/>
        </w:rPr>
        <w:t xml:space="preserve"> adózók számára nem okozott jele</w:t>
      </w:r>
      <w:r w:rsidR="00AF5B18">
        <w:rPr>
          <w:rFonts w:ascii="Times New Roman" w:eastAsia="Times New Roman" w:hAnsi="Times New Roman"/>
          <w:sz w:val="24"/>
          <w:szCs w:val="24"/>
          <w:lang w:eastAsia="hu-HU"/>
        </w:rPr>
        <w:t>ntős hátrányokat, nem történt e</w:t>
      </w:r>
      <w:r w:rsidRPr="00503F23">
        <w:rPr>
          <w:rFonts w:ascii="Times New Roman" w:eastAsia="Times New Roman" w:hAnsi="Times New Roman"/>
          <w:sz w:val="24"/>
          <w:szCs w:val="24"/>
          <w:lang w:eastAsia="hu-HU"/>
        </w:rPr>
        <w:t>miatt ügyintézési határidő túllépés sem.</w:t>
      </w:r>
    </w:p>
    <w:p w14:paraId="46470F16" w14:textId="77777777" w:rsidR="000933E5" w:rsidRDefault="00503F23" w:rsidP="005479D3">
      <w:pPr>
        <w:ind w:firstLine="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feladatellátás rendezett megvalósulása, az ügyfelek hatékony kiszolgálása </w:t>
      </w:r>
      <w:r w:rsidR="00AF5B18">
        <w:rPr>
          <w:rFonts w:ascii="Times New Roman" w:eastAsia="Times New Roman" w:hAnsi="Times New Roman"/>
          <w:sz w:val="24"/>
          <w:szCs w:val="24"/>
          <w:lang w:eastAsia="hu-HU"/>
        </w:rPr>
        <w:t xml:space="preserve">érdekében </w:t>
      </w:r>
      <w:r>
        <w:rPr>
          <w:rFonts w:ascii="Times New Roman" w:eastAsia="Times New Roman" w:hAnsi="Times New Roman"/>
          <w:sz w:val="24"/>
          <w:szCs w:val="24"/>
          <w:lang w:eastAsia="hu-HU"/>
        </w:rPr>
        <w:t xml:space="preserve">– bármilyen körülmények között is - </w:t>
      </w:r>
      <w:r w:rsidR="00D3671B">
        <w:rPr>
          <w:rFonts w:ascii="Times New Roman" w:eastAsia="Times New Roman" w:hAnsi="Times New Roman"/>
          <w:sz w:val="24"/>
          <w:szCs w:val="24"/>
          <w:lang w:eastAsia="hu-HU"/>
        </w:rPr>
        <w:t xml:space="preserve">évek óta folyamatosan egy célt követ a Hivatal személyzeti politikája; </w:t>
      </w:r>
      <w:r w:rsidR="00AF5B18">
        <w:rPr>
          <w:rFonts w:ascii="Times New Roman" w:eastAsia="Times New Roman" w:hAnsi="Times New Roman"/>
          <w:sz w:val="24"/>
          <w:szCs w:val="24"/>
          <w:lang w:eastAsia="hu-HU"/>
        </w:rPr>
        <w:t>mindenki rendelkezik</w:t>
      </w:r>
      <w:r w:rsidR="00180D34">
        <w:rPr>
          <w:rFonts w:ascii="Times New Roman" w:eastAsia="Times New Roman" w:hAnsi="Times New Roman"/>
          <w:sz w:val="24"/>
          <w:szCs w:val="24"/>
          <w:lang w:eastAsia="hu-HU"/>
        </w:rPr>
        <w:t xml:space="preserve"> a</w:t>
      </w:r>
      <w:r w:rsidR="00AF5B18">
        <w:rPr>
          <w:rFonts w:ascii="Times New Roman" w:eastAsia="Times New Roman" w:hAnsi="Times New Roman"/>
          <w:sz w:val="24"/>
          <w:szCs w:val="24"/>
          <w:lang w:eastAsia="hu-HU"/>
        </w:rPr>
        <w:t>z adott</w:t>
      </w:r>
      <w:r w:rsidR="00180D34">
        <w:rPr>
          <w:rFonts w:ascii="Times New Roman" w:eastAsia="Times New Roman" w:hAnsi="Times New Roman"/>
          <w:sz w:val="24"/>
          <w:szCs w:val="24"/>
          <w:lang w:eastAsia="hu-HU"/>
        </w:rPr>
        <w:t xml:space="preserve"> feladat ellátásához szükséges legmagasabb iskolai végzettséggel, továbbá</w:t>
      </w:r>
      <w:r w:rsidR="001A4C5D">
        <w:rPr>
          <w:rFonts w:ascii="Times New Roman" w:eastAsia="Times New Roman" w:hAnsi="Times New Roman"/>
          <w:sz w:val="24"/>
          <w:szCs w:val="24"/>
          <w:lang w:eastAsia="hu-HU"/>
        </w:rPr>
        <w:t>,</w:t>
      </w:r>
      <w:r w:rsidR="00180D34">
        <w:rPr>
          <w:rFonts w:ascii="Times New Roman" w:eastAsia="Times New Roman" w:hAnsi="Times New Roman"/>
          <w:sz w:val="24"/>
          <w:szCs w:val="24"/>
          <w:lang w:eastAsia="hu-HU"/>
        </w:rPr>
        <w:t xml:space="preserve"> </w:t>
      </w:r>
      <w:r w:rsidR="001A4C5D">
        <w:rPr>
          <w:rFonts w:ascii="Times New Roman" w:eastAsia="Times New Roman" w:hAnsi="Times New Roman"/>
          <w:sz w:val="24"/>
          <w:szCs w:val="24"/>
          <w:lang w:eastAsia="hu-HU"/>
        </w:rPr>
        <w:t xml:space="preserve">jelentős erőforrásokat összpontosítunk arra, hogy dolgozóink szakmai fejlődése továbbra is biztosított legyen. </w:t>
      </w:r>
    </w:p>
    <w:p w14:paraId="292123AB" w14:textId="77777777" w:rsidR="0089070A" w:rsidRPr="001A4C5D" w:rsidRDefault="0089070A" w:rsidP="004A51A8">
      <w:pPr>
        <w:jc w:val="both"/>
        <w:rPr>
          <w:rFonts w:ascii="Times New Roman" w:eastAsia="Times New Roman" w:hAnsi="Times New Roman"/>
          <w:sz w:val="24"/>
          <w:szCs w:val="24"/>
          <w:lang w:eastAsia="hu-HU"/>
        </w:rPr>
      </w:pPr>
    </w:p>
    <w:p w14:paraId="77620F77" w14:textId="578BE42A" w:rsidR="00A6161D" w:rsidRPr="00A6161D" w:rsidRDefault="00A6161D" w:rsidP="004A51A8">
      <w:pPr>
        <w:jc w:val="both"/>
        <w:rPr>
          <w:rFonts w:ascii="Times New Roman" w:eastAsia="Times New Roman" w:hAnsi="Times New Roman"/>
          <w:sz w:val="24"/>
          <w:szCs w:val="24"/>
          <w:lang w:eastAsia="hu-HU"/>
        </w:rPr>
      </w:pPr>
      <w:r w:rsidRPr="00A6161D">
        <w:rPr>
          <w:rFonts w:ascii="Times New Roman" w:eastAsia="Times New Roman" w:hAnsi="Times New Roman"/>
          <w:sz w:val="24"/>
          <w:szCs w:val="24"/>
          <w:lang w:eastAsia="hu-HU"/>
        </w:rPr>
        <w:t xml:space="preserve">Kérem a Tisztelt Képviselő-testületet, hogy a tájékoztatót </w:t>
      </w:r>
      <w:proofErr w:type="gramStart"/>
      <w:r w:rsidRPr="00A6161D">
        <w:rPr>
          <w:rFonts w:ascii="Times New Roman" w:eastAsia="Times New Roman" w:hAnsi="Times New Roman"/>
          <w:sz w:val="24"/>
          <w:szCs w:val="24"/>
          <w:lang w:eastAsia="hu-HU"/>
        </w:rPr>
        <w:t>szíveskedj</w:t>
      </w:r>
      <w:r w:rsidR="00BB6FE9">
        <w:rPr>
          <w:rFonts w:ascii="Times New Roman" w:eastAsia="Times New Roman" w:hAnsi="Times New Roman"/>
          <w:sz w:val="24"/>
          <w:szCs w:val="24"/>
          <w:lang w:eastAsia="hu-HU"/>
        </w:rPr>
        <w:t>enek</w:t>
      </w:r>
      <w:proofErr w:type="gramEnd"/>
      <w:r w:rsidRPr="00A6161D">
        <w:rPr>
          <w:rFonts w:ascii="Times New Roman" w:eastAsia="Times New Roman" w:hAnsi="Times New Roman"/>
          <w:sz w:val="24"/>
          <w:szCs w:val="24"/>
          <w:lang w:eastAsia="hu-HU"/>
        </w:rPr>
        <w:t xml:space="preserve"> megtárgyalni és elfogadni.</w:t>
      </w:r>
    </w:p>
    <w:p w14:paraId="07F838DA" w14:textId="77777777" w:rsidR="000933E5" w:rsidRDefault="000933E5" w:rsidP="004A51A8">
      <w:pPr>
        <w:jc w:val="both"/>
        <w:rPr>
          <w:rFonts w:ascii="Times New Roman" w:eastAsia="Times New Roman" w:hAnsi="Times New Roman"/>
          <w:sz w:val="24"/>
          <w:szCs w:val="24"/>
          <w:lang w:eastAsia="hu-HU"/>
        </w:rPr>
      </w:pPr>
    </w:p>
    <w:p w14:paraId="58A9B6F8" w14:textId="06CC830F" w:rsidR="00A6161D" w:rsidRDefault="004F248C" w:rsidP="004A51A8">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Nyúl</w:t>
      </w:r>
      <w:r w:rsidR="00A6161D" w:rsidRPr="00A6161D">
        <w:rPr>
          <w:rFonts w:ascii="Times New Roman" w:eastAsia="Times New Roman" w:hAnsi="Times New Roman"/>
          <w:sz w:val="24"/>
          <w:szCs w:val="24"/>
          <w:lang w:eastAsia="hu-HU"/>
        </w:rPr>
        <w:t>, 20</w:t>
      </w:r>
      <w:r w:rsidR="005479D3">
        <w:rPr>
          <w:rFonts w:ascii="Times New Roman" w:eastAsia="Times New Roman" w:hAnsi="Times New Roman"/>
          <w:sz w:val="24"/>
          <w:szCs w:val="24"/>
          <w:lang w:eastAsia="hu-HU"/>
        </w:rPr>
        <w:t>2</w:t>
      </w:r>
      <w:r w:rsidR="002A22BC">
        <w:rPr>
          <w:rFonts w:ascii="Times New Roman" w:eastAsia="Times New Roman" w:hAnsi="Times New Roman"/>
          <w:sz w:val="24"/>
          <w:szCs w:val="24"/>
          <w:lang w:eastAsia="hu-HU"/>
        </w:rPr>
        <w:t>1</w:t>
      </w:r>
      <w:r w:rsidR="00A6161D" w:rsidRPr="00A6161D">
        <w:rPr>
          <w:rFonts w:ascii="Times New Roman" w:eastAsia="Times New Roman" w:hAnsi="Times New Roman"/>
          <w:sz w:val="24"/>
          <w:szCs w:val="24"/>
          <w:lang w:eastAsia="hu-HU"/>
        </w:rPr>
        <w:t xml:space="preserve">. </w:t>
      </w:r>
      <w:r w:rsidR="006C7AF2">
        <w:rPr>
          <w:rFonts w:ascii="Times New Roman" w:eastAsia="Times New Roman" w:hAnsi="Times New Roman"/>
          <w:sz w:val="24"/>
          <w:szCs w:val="24"/>
          <w:lang w:eastAsia="hu-HU"/>
        </w:rPr>
        <w:t>november 17</w:t>
      </w:r>
      <w:r w:rsidR="00A6161D" w:rsidRPr="00A6161D">
        <w:rPr>
          <w:rFonts w:ascii="Times New Roman" w:eastAsia="Times New Roman" w:hAnsi="Times New Roman"/>
          <w:sz w:val="24"/>
          <w:szCs w:val="24"/>
          <w:lang w:eastAsia="hu-HU"/>
        </w:rPr>
        <w:t>.</w:t>
      </w:r>
    </w:p>
    <w:p w14:paraId="01DD35A5" w14:textId="77777777" w:rsidR="00D3671B" w:rsidRPr="00A6161D" w:rsidRDefault="00D3671B" w:rsidP="004A51A8">
      <w:pPr>
        <w:jc w:val="both"/>
        <w:rPr>
          <w:rFonts w:ascii="Times New Roman" w:eastAsia="Times New Roman" w:hAnsi="Times New Roman"/>
          <w:sz w:val="24"/>
          <w:szCs w:val="24"/>
          <w:lang w:eastAsia="hu-HU"/>
        </w:rPr>
      </w:pPr>
    </w:p>
    <w:p w14:paraId="0BBAE01D" w14:textId="264C77D8" w:rsidR="001C5319" w:rsidRDefault="00BB6FE9" w:rsidP="00BB6FE9">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14:paraId="6B36A886" w14:textId="538EB6AE" w:rsidR="00BB6FE9" w:rsidRDefault="00D3671B" w:rsidP="001C5319">
      <w:pPr>
        <w:ind w:left="4956" w:firstLine="70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14:paraId="25031F0F" w14:textId="03CB40DE" w:rsidR="00FB452B" w:rsidRDefault="00FB452B" w:rsidP="001C5319">
      <w:pPr>
        <w:ind w:left="4956" w:firstLine="708"/>
        <w:jc w:val="both"/>
        <w:rPr>
          <w:rFonts w:ascii="Times New Roman" w:eastAsia="Times New Roman" w:hAnsi="Times New Roman"/>
          <w:sz w:val="24"/>
          <w:szCs w:val="24"/>
          <w:lang w:eastAsia="hu-HU"/>
        </w:rPr>
      </w:pPr>
    </w:p>
    <w:p w14:paraId="278443E4" w14:textId="65781C7D" w:rsidR="00FB452B" w:rsidRDefault="00FB452B" w:rsidP="001C5319">
      <w:pPr>
        <w:ind w:left="4956" w:firstLine="70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Szabó Anita</w:t>
      </w:r>
      <w:r w:rsidR="00B127C1">
        <w:rPr>
          <w:rFonts w:ascii="Times New Roman" w:eastAsia="Times New Roman" w:hAnsi="Times New Roman"/>
          <w:sz w:val="24"/>
          <w:szCs w:val="24"/>
          <w:lang w:eastAsia="hu-HU"/>
        </w:rPr>
        <w:t xml:space="preserve"> </w:t>
      </w:r>
      <w:proofErr w:type="spellStart"/>
      <w:r w:rsidR="00B127C1">
        <w:rPr>
          <w:rFonts w:ascii="Times New Roman" w:eastAsia="Times New Roman" w:hAnsi="Times New Roman"/>
          <w:sz w:val="24"/>
          <w:szCs w:val="24"/>
          <w:lang w:eastAsia="hu-HU"/>
        </w:rPr>
        <w:t>sk</w:t>
      </w:r>
      <w:proofErr w:type="spellEnd"/>
    </w:p>
    <w:p w14:paraId="21204FFF" w14:textId="195F9E3D" w:rsidR="00FB452B" w:rsidRDefault="00FB452B" w:rsidP="00FB452B">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2C7590">
        <w:rPr>
          <w:rFonts w:ascii="Times New Roman" w:eastAsia="Times New Roman" w:hAnsi="Times New Roman"/>
          <w:sz w:val="24"/>
          <w:szCs w:val="24"/>
          <w:lang w:eastAsia="hu-HU"/>
        </w:rPr>
        <w:t xml:space="preserve">    </w:t>
      </w:r>
      <w:bookmarkStart w:id="7" w:name="_GoBack"/>
      <w:bookmarkEnd w:id="7"/>
      <w:r>
        <w:rPr>
          <w:rFonts w:ascii="Times New Roman" w:eastAsia="Times New Roman" w:hAnsi="Times New Roman"/>
          <w:sz w:val="24"/>
          <w:szCs w:val="24"/>
          <w:lang w:eastAsia="hu-HU"/>
        </w:rPr>
        <w:t xml:space="preserve"> főtanácsos</w:t>
      </w:r>
    </w:p>
    <w:p w14:paraId="2EFC25EA" w14:textId="1A475B66" w:rsidR="00B127C1" w:rsidRDefault="00B127C1" w:rsidP="00FB452B">
      <w:pPr>
        <w:jc w:val="both"/>
        <w:rPr>
          <w:rFonts w:ascii="Times New Roman" w:eastAsia="Times New Roman" w:hAnsi="Times New Roman"/>
          <w:sz w:val="24"/>
          <w:szCs w:val="24"/>
          <w:lang w:eastAsia="hu-HU"/>
        </w:rPr>
      </w:pPr>
    </w:p>
    <w:p w14:paraId="3E8A2648" w14:textId="54EB63E8" w:rsidR="00B127C1" w:rsidRDefault="00B127C1" w:rsidP="00FB452B">
      <w:pPr>
        <w:jc w:val="both"/>
        <w:rPr>
          <w:rFonts w:ascii="Times New Roman" w:eastAsia="Times New Roman" w:hAnsi="Times New Roman"/>
          <w:sz w:val="24"/>
          <w:szCs w:val="24"/>
          <w:lang w:eastAsia="hu-HU"/>
        </w:rPr>
      </w:pPr>
    </w:p>
    <w:p w14:paraId="6564AD9F" w14:textId="353E94ED" w:rsidR="00B127C1" w:rsidRDefault="00B127C1" w:rsidP="00FB452B">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Testületi tárgyalásra alkalmas.</w:t>
      </w:r>
    </w:p>
    <w:p w14:paraId="3CE42396" w14:textId="36B12F97" w:rsidR="00B127C1" w:rsidRDefault="00B127C1" w:rsidP="00FB452B">
      <w:pPr>
        <w:jc w:val="both"/>
        <w:rPr>
          <w:rFonts w:ascii="Times New Roman" w:eastAsia="Times New Roman" w:hAnsi="Times New Roman"/>
          <w:sz w:val="24"/>
          <w:szCs w:val="24"/>
          <w:lang w:eastAsia="hu-HU"/>
        </w:rPr>
      </w:pPr>
    </w:p>
    <w:p w14:paraId="467B8DB2" w14:textId="0A9ACA3E" w:rsidR="002568E7" w:rsidRDefault="002568E7" w:rsidP="00FB452B">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Nyúl, 2021. novembert 18.</w:t>
      </w:r>
    </w:p>
    <w:p w14:paraId="6F4D62B2" w14:textId="06D02D05" w:rsidR="002568E7" w:rsidRDefault="002568E7" w:rsidP="00FB452B">
      <w:pPr>
        <w:jc w:val="both"/>
        <w:rPr>
          <w:rFonts w:ascii="Times New Roman" w:eastAsia="Times New Roman" w:hAnsi="Times New Roman"/>
          <w:sz w:val="24"/>
          <w:szCs w:val="24"/>
          <w:lang w:eastAsia="hu-HU"/>
        </w:rPr>
      </w:pPr>
    </w:p>
    <w:p w14:paraId="7B5BD116" w14:textId="70B9AAAD" w:rsidR="002568E7" w:rsidRDefault="002568E7" w:rsidP="00FB452B">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Takács </w:t>
      </w:r>
      <w:proofErr w:type="gramStart"/>
      <w:r>
        <w:rPr>
          <w:rFonts w:ascii="Times New Roman" w:eastAsia="Times New Roman" w:hAnsi="Times New Roman"/>
          <w:sz w:val="24"/>
          <w:szCs w:val="24"/>
          <w:lang w:eastAsia="hu-HU"/>
        </w:rPr>
        <w:t xml:space="preserve">Lajos  </w:t>
      </w:r>
      <w:proofErr w:type="spellStart"/>
      <w:r>
        <w:rPr>
          <w:rFonts w:ascii="Times New Roman" w:eastAsia="Times New Roman" w:hAnsi="Times New Roman"/>
          <w:sz w:val="24"/>
          <w:szCs w:val="24"/>
          <w:lang w:eastAsia="hu-HU"/>
        </w:rPr>
        <w:t>sk</w:t>
      </w:r>
      <w:proofErr w:type="spellEnd"/>
      <w:proofErr w:type="gramEnd"/>
      <w:r>
        <w:rPr>
          <w:rFonts w:ascii="Times New Roman" w:eastAsia="Times New Roman" w:hAnsi="Times New Roman"/>
          <w:sz w:val="24"/>
          <w:szCs w:val="24"/>
          <w:lang w:eastAsia="hu-HU"/>
        </w:rPr>
        <w:t>.</w:t>
      </w:r>
    </w:p>
    <w:p w14:paraId="1DD5A5FC" w14:textId="7B7B00B5" w:rsidR="002568E7" w:rsidRDefault="002568E7" w:rsidP="00FB452B">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jegyző</w:t>
      </w:r>
    </w:p>
    <w:p w14:paraId="0E1E7BE9" w14:textId="77777777" w:rsidR="00B127C1" w:rsidRDefault="00B127C1" w:rsidP="00FB452B">
      <w:pPr>
        <w:jc w:val="both"/>
        <w:rPr>
          <w:rFonts w:ascii="Times New Roman" w:eastAsia="Times New Roman" w:hAnsi="Times New Roman"/>
          <w:sz w:val="24"/>
          <w:szCs w:val="24"/>
          <w:lang w:eastAsia="hu-HU"/>
        </w:rPr>
      </w:pPr>
    </w:p>
    <w:p w14:paraId="1B232ED6" w14:textId="77777777" w:rsidR="00FB452B" w:rsidRDefault="00FB452B" w:rsidP="001C5319">
      <w:pPr>
        <w:ind w:left="4956" w:firstLine="708"/>
        <w:jc w:val="both"/>
        <w:rPr>
          <w:rFonts w:ascii="Times New Roman" w:eastAsia="Times New Roman" w:hAnsi="Times New Roman"/>
          <w:sz w:val="24"/>
          <w:szCs w:val="24"/>
          <w:lang w:eastAsia="hu-HU"/>
        </w:rPr>
      </w:pPr>
    </w:p>
    <w:p w14:paraId="3D736EFD" w14:textId="1075BC60" w:rsidR="00BB6FE9" w:rsidRDefault="00BB6FE9" w:rsidP="001C5319">
      <w:pPr>
        <w:ind w:left="4956" w:firstLine="708"/>
        <w:jc w:val="both"/>
        <w:rPr>
          <w:rFonts w:ascii="Times New Roman" w:eastAsia="Times New Roman" w:hAnsi="Times New Roman"/>
          <w:sz w:val="24"/>
          <w:szCs w:val="24"/>
          <w:lang w:eastAsia="hu-HU"/>
        </w:rPr>
      </w:pPr>
    </w:p>
    <w:p w14:paraId="0FC867E6" w14:textId="16469ECD" w:rsidR="00BB6FE9" w:rsidRDefault="00BB6FE9" w:rsidP="001C5319">
      <w:pPr>
        <w:ind w:left="4956" w:firstLine="708"/>
        <w:jc w:val="both"/>
        <w:rPr>
          <w:rFonts w:ascii="Times New Roman" w:eastAsia="Times New Roman" w:hAnsi="Times New Roman"/>
          <w:sz w:val="24"/>
          <w:szCs w:val="24"/>
          <w:lang w:eastAsia="hu-HU"/>
        </w:rPr>
      </w:pPr>
    </w:p>
    <w:p w14:paraId="2E46D373" w14:textId="6E2AA65C" w:rsidR="00BB6FE9" w:rsidRDefault="00BB6FE9" w:rsidP="001C5319">
      <w:pPr>
        <w:ind w:left="4956" w:firstLine="708"/>
        <w:jc w:val="both"/>
        <w:rPr>
          <w:rFonts w:ascii="Times New Roman" w:eastAsia="Times New Roman" w:hAnsi="Times New Roman"/>
          <w:sz w:val="24"/>
          <w:szCs w:val="24"/>
          <w:lang w:eastAsia="hu-HU"/>
        </w:rPr>
      </w:pPr>
    </w:p>
    <w:p w14:paraId="753D117A" w14:textId="42D4717A" w:rsidR="00BB6FE9" w:rsidRDefault="00BB6FE9" w:rsidP="001C5319">
      <w:pPr>
        <w:ind w:left="4956" w:firstLine="708"/>
        <w:jc w:val="both"/>
        <w:rPr>
          <w:rFonts w:ascii="Times New Roman" w:eastAsia="Times New Roman" w:hAnsi="Times New Roman"/>
          <w:sz w:val="24"/>
          <w:szCs w:val="24"/>
          <w:lang w:eastAsia="hu-HU"/>
        </w:rPr>
      </w:pPr>
    </w:p>
    <w:p w14:paraId="6B122E68" w14:textId="338B4ADC" w:rsidR="00BB6FE9" w:rsidRDefault="00BB6FE9" w:rsidP="001C5319">
      <w:pPr>
        <w:ind w:left="4956" w:firstLine="708"/>
        <w:jc w:val="both"/>
        <w:rPr>
          <w:rFonts w:ascii="Times New Roman" w:eastAsia="Times New Roman" w:hAnsi="Times New Roman"/>
          <w:sz w:val="24"/>
          <w:szCs w:val="24"/>
          <w:lang w:eastAsia="hu-HU"/>
        </w:rPr>
      </w:pPr>
    </w:p>
    <w:p w14:paraId="01C3B62A" w14:textId="4C300D5F" w:rsidR="00BB6FE9" w:rsidRDefault="00BB6FE9" w:rsidP="001C5319">
      <w:pPr>
        <w:ind w:left="4956" w:firstLine="708"/>
        <w:jc w:val="both"/>
        <w:rPr>
          <w:rFonts w:ascii="Times New Roman" w:eastAsia="Times New Roman" w:hAnsi="Times New Roman"/>
          <w:sz w:val="24"/>
          <w:szCs w:val="24"/>
          <w:lang w:eastAsia="hu-HU"/>
        </w:rPr>
      </w:pPr>
    </w:p>
    <w:p w14:paraId="6A7DE47B" w14:textId="7AB333E6" w:rsidR="00BB6FE9" w:rsidRDefault="00BB6FE9" w:rsidP="001C5319">
      <w:pPr>
        <w:ind w:left="4956" w:firstLine="708"/>
        <w:jc w:val="both"/>
        <w:rPr>
          <w:rFonts w:ascii="Times New Roman" w:eastAsia="Times New Roman" w:hAnsi="Times New Roman"/>
          <w:sz w:val="24"/>
          <w:szCs w:val="24"/>
          <w:lang w:eastAsia="hu-HU"/>
        </w:rPr>
      </w:pPr>
    </w:p>
    <w:p w14:paraId="47DAEA00" w14:textId="344FEE1F" w:rsidR="00BB6FE9" w:rsidRDefault="00BB6FE9" w:rsidP="001C5319">
      <w:pPr>
        <w:ind w:left="4956" w:firstLine="708"/>
        <w:jc w:val="both"/>
        <w:rPr>
          <w:rFonts w:ascii="Times New Roman" w:eastAsia="Times New Roman" w:hAnsi="Times New Roman"/>
          <w:sz w:val="24"/>
          <w:szCs w:val="24"/>
          <w:lang w:eastAsia="hu-HU"/>
        </w:rPr>
      </w:pPr>
    </w:p>
    <w:p w14:paraId="796EF938" w14:textId="315BD101" w:rsidR="00BB6FE9" w:rsidRDefault="00BB6FE9" w:rsidP="001C5319">
      <w:pPr>
        <w:ind w:left="4956" w:firstLine="708"/>
        <w:jc w:val="both"/>
        <w:rPr>
          <w:rFonts w:ascii="Times New Roman" w:eastAsia="Times New Roman" w:hAnsi="Times New Roman"/>
          <w:sz w:val="24"/>
          <w:szCs w:val="24"/>
          <w:lang w:eastAsia="hu-HU"/>
        </w:rPr>
      </w:pPr>
    </w:p>
    <w:p w14:paraId="2A6DF05A" w14:textId="56AA7021" w:rsidR="00BB6FE9" w:rsidRDefault="00BB6FE9" w:rsidP="001C5319">
      <w:pPr>
        <w:ind w:left="4956" w:firstLine="708"/>
        <w:jc w:val="both"/>
        <w:rPr>
          <w:rFonts w:ascii="Times New Roman" w:eastAsia="Times New Roman" w:hAnsi="Times New Roman"/>
          <w:sz w:val="24"/>
          <w:szCs w:val="24"/>
          <w:lang w:eastAsia="hu-HU"/>
        </w:rPr>
      </w:pPr>
    </w:p>
    <w:p w14:paraId="639C8E1C" w14:textId="0804A623" w:rsidR="00BB6FE9" w:rsidRDefault="00BB6FE9" w:rsidP="001C5319">
      <w:pPr>
        <w:ind w:left="4956" w:firstLine="708"/>
        <w:jc w:val="both"/>
        <w:rPr>
          <w:rFonts w:ascii="Times New Roman" w:eastAsia="Times New Roman" w:hAnsi="Times New Roman"/>
          <w:sz w:val="24"/>
          <w:szCs w:val="24"/>
          <w:lang w:eastAsia="hu-HU"/>
        </w:rPr>
      </w:pPr>
    </w:p>
    <w:p w14:paraId="356637A6" w14:textId="7D03C921" w:rsidR="00BB6FE9" w:rsidRDefault="00FB452B" w:rsidP="001C5319">
      <w:pPr>
        <w:ind w:left="4956" w:firstLine="70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Határozat tervezet</w:t>
      </w:r>
    </w:p>
    <w:p w14:paraId="1547F34C" w14:textId="044D6B47" w:rsidR="00FB452B" w:rsidRDefault="00FB452B" w:rsidP="001C5319">
      <w:pPr>
        <w:ind w:left="4956" w:firstLine="708"/>
        <w:jc w:val="both"/>
        <w:rPr>
          <w:rFonts w:ascii="Times New Roman" w:eastAsia="Times New Roman" w:hAnsi="Times New Roman"/>
          <w:sz w:val="24"/>
          <w:szCs w:val="24"/>
          <w:lang w:eastAsia="hu-HU"/>
        </w:rPr>
      </w:pPr>
    </w:p>
    <w:p w14:paraId="29192CE8" w14:textId="45DC76E7" w:rsidR="00FB452B" w:rsidRDefault="00FB452B" w:rsidP="001C5319">
      <w:pPr>
        <w:ind w:left="4956" w:firstLine="708"/>
        <w:jc w:val="both"/>
        <w:rPr>
          <w:rFonts w:ascii="Times New Roman" w:eastAsia="Times New Roman" w:hAnsi="Times New Roman"/>
          <w:sz w:val="24"/>
          <w:szCs w:val="24"/>
          <w:lang w:eastAsia="hu-HU"/>
        </w:rPr>
      </w:pPr>
    </w:p>
    <w:p w14:paraId="35CA65B8" w14:textId="77777777" w:rsidR="00FB452B" w:rsidRDefault="00FB452B" w:rsidP="001C5319">
      <w:pPr>
        <w:ind w:left="4956" w:firstLine="708"/>
        <w:jc w:val="both"/>
        <w:rPr>
          <w:rFonts w:ascii="Times New Roman" w:eastAsia="Times New Roman" w:hAnsi="Times New Roman"/>
          <w:sz w:val="24"/>
          <w:szCs w:val="24"/>
          <w:lang w:eastAsia="hu-HU"/>
        </w:rPr>
      </w:pPr>
    </w:p>
    <w:p w14:paraId="7EB4F8CF" w14:textId="77777777" w:rsidR="00BB6FE9" w:rsidRDefault="00BB6FE9" w:rsidP="001C5319">
      <w:pPr>
        <w:ind w:left="4956" w:firstLine="708"/>
        <w:jc w:val="both"/>
        <w:rPr>
          <w:rFonts w:ascii="Times New Roman" w:eastAsia="Times New Roman" w:hAnsi="Times New Roman"/>
          <w:sz w:val="24"/>
          <w:szCs w:val="24"/>
          <w:lang w:eastAsia="hu-HU"/>
        </w:rPr>
      </w:pPr>
    </w:p>
    <w:p w14:paraId="3165199A" w14:textId="77777777" w:rsidR="00AF5B18" w:rsidRDefault="00AF5B18" w:rsidP="00C31F95">
      <w:pPr>
        <w:ind w:left="6372"/>
        <w:jc w:val="both"/>
        <w:rPr>
          <w:rFonts w:ascii="Times New Roman" w:eastAsia="Times New Roman" w:hAnsi="Times New Roman"/>
          <w:sz w:val="24"/>
          <w:szCs w:val="24"/>
          <w:lang w:eastAsia="hu-HU"/>
        </w:rPr>
      </w:pPr>
    </w:p>
    <w:p w14:paraId="0E93E62A" w14:textId="0ED53904" w:rsidR="0059672E" w:rsidRPr="0059672E" w:rsidRDefault="006C7AF2" w:rsidP="004A51A8">
      <w:pPr>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Nyúl Község Önkormányzata Képviselő -testületének </w:t>
      </w:r>
    </w:p>
    <w:p w14:paraId="5AF19C18" w14:textId="77777777" w:rsidR="0059672E" w:rsidRPr="0059672E" w:rsidRDefault="0059672E" w:rsidP="004A51A8">
      <w:pPr>
        <w:autoSpaceDE w:val="0"/>
        <w:autoSpaceDN w:val="0"/>
        <w:adjustRightInd w:val="0"/>
        <w:rPr>
          <w:rFonts w:ascii="Times New Roman" w:eastAsia="Times New Roman" w:hAnsi="Times New Roman"/>
          <w:sz w:val="24"/>
          <w:szCs w:val="24"/>
          <w:lang w:eastAsia="hu-HU"/>
        </w:rPr>
      </w:pPr>
    </w:p>
    <w:p w14:paraId="01FE1F76" w14:textId="2E56E9A3" w:rsidR="0059672E" w:rsidRDefault="0059672E" w:rsidP="004A51A8">
      <w:pPr>
        <w:autoSpaceDE w:val="0"/>
        <w:autoSpaceDN w:val="0"/>
        <w:adjustRightInd w:val="0"/>
        <w:rPr>
          <w:rFonts w:ascii="Times New Roman" w:eastAsia="Times New Roman" w:hAnsi="Times New Roman"/>
          <w:sz w:val="24"/>
          <w:szCs w:val="24"/>
          <w:lang w:eastAsia="hu-HU"/>
        </w:rPr>
      </w:pPr>
      <w:r w:rsidRPr="0059672E">
        <w:rPr>
          <w:rFonts w:ascii="Times New Roman" w:eastAsia="Times New Roman" w:hAnsi="Times New Roman"/>
          <w:sz w:val="24"/>
          <w:szCs w:val="24"/>
          <w:lang w:eastAsia="hu-HU"/>
        </w:rPr>
        <w:t>…</w:t>
      </w:r>
      <w:r w:rsidR="006C7AF2">
        <w:rPr>
          <w:rFonts w:ascii="Times New Roman" w:eastAsia="Times New Roman" w:hAnsi="Times New Roman"/>
          <w:sz w:val="24"/>
          <w:szCs w:val="24"/>
          <w:lang w:eastAsia="hu-HU"/>
        </w:rPr>
        <w:t xml:space="preserve">… </w:t>
      </w:r>
      <w:r w:rsidRPr="0059672E">
        <w:rPr>
          <w:rFonts w:ascii="Times New Roman" w:eastAsia="Times New Roman" w:hAnsi="Times New Roman"/>
          <w:sz w:val="24"/>
          <w:szCs w:val="24"/>
          <w:lang w:eastAsia="hu-HU"/>
        </w:rPr>
        <w:t>/20</w:t>
      </w:r>
      <w:r w:rsidR="002D621D">
        <w:rPr>
          <w:rFonts w:ascii="Times New Roman" w:eastAsia="Times New Roman" w:hAnsi="Times New Roman"/>
          <w:sz w:val="24"/>
          <w:szCs w:val="24"/>
          <w:lang w:eastAsia="hu-HU"/>
        </w:rPr>
        <w:t>2</w:t>
      </w:r>
      <w:r w:rsidR="00296878">
        <w:rPr>
          <w:rFonts w:ascii="Times New Roman" w:eastAsia="Times New Roman" w:hAnsi="Times New Roman"/>
          <w:sz w:val="24"/>
          <w:szCs w:val="24"/>
          <w:lang w:eastAsia="hu-HU"/>
        </w:rPr>
        <w:t>1</w:t>
      </w:r>
      <w:r w:rsidRPr="0059672E">
        <w:rPr>
          <w:rFonts w:ascii="Times New Roman" w:eastAsia="Times New Roman" w:hAnsi="Times New Roman"/>
          <w:sz w:val="24"/>
          <w:szCs w:val="24"/>
          <w:lang w:eastAsia="hu-HU"/>
        </w:rPr>
        <w:t>. (IX.</w:t>
      </w:r>
      <w:r w:rsidR="006C7AF2">
        <w:rPr>
          <w:rFonts w:ascii="Times New Roman" w:eastAsia="Times New Roman" w:hAnsi="Times New Roman"/>
          <w:sz w:val="24"/>
          <w:szCs w:val="24"/>
          <w:lang w:eastAsia="hu-HU"/>
        </w:rPr>
        <w:t>30</w:t>
      </w:r>
      <w:r w:rsidRPr="0059672E">
        <w:rPr>
          <w:rFonts w:ascii="Times New Roman" w:eastAsia="Times New Roman" w:hAnsi="Times New Roman"/>
          <w:sz w:val="24"/>
          <w:szCs w:val="24"/>
          <w:lang w:eastAsia="hu-HU"/>
        </w:rPr>
        <w:t xml:space="preserve">.) </w:t>
      </w:r>
      <w:r w:rsidR="006C7AF2">
        <w:rPr>
          <w:rFonts w:ascii="Times New Roman" w:eastAsia="Times New Roman" w:hAnsi="Times New Roman"/>
          <w:sz w:val="24"/>
          <w:szCs w:val="24"/>
          <w:lang w:eastAsia="hu-HU"/>
        </w:rPr>
        <w:t>önkormányzati</w:t>
      </w:r>
      <w:r w:rsidRPr="0059672E">
        <w:rPr>
          <w:rFonts w:ascii="Times New Roman" w:eastAsia="Times New Roman" w:hAnsi="Times New Roman"/>
          <w:sz w:val="24"/>
          <w:szCs w:val="24"/>
          <w:lang w:eastAsia="hu-HU"/>
        </w:rPr>
        <w:t xml:space="preserve"> határozat</w:t>
      </w:r>
    </w:p>
    <w:p w14:paraId="574DDDD1" w14:textId="77777777" w:rsidR="00FB452B" w:rsidRPr="0059672E" w:rsidRDefault="00FB452B" w:rsidP="004A51A8">
      <w:pPr>
        <w:autoSpaceDE w:val="0"/>
        <w:autoSpaceDN w:val="0"/>
        <w:adjustRightInd w:val="0"/>
        <w:rPr>
          <w:rFonts w:ascii="Times New Roman" w:eastAsia="Times New Roman" w:hAnsi="Times New Roman"/>
          <w:sz w:val="24"/>
          <w:szCs w:val="24"/>
          <w:lang w:eastAsia="hu-HU"/>
        </w:rPr>
      </w:pPr>
    </w:p>
    <w:p w14:paraId="0D09A413" w14:textId="77777777" w:rsidR="0059672E" w:rsidRPr="0059672E" w:rsidRDefault="0059672E" w:rsidP="004A51A8">
      <w:pPr>
        <w:autoSpaceDE w:val="0"/>
        <w:autoSpaceDN w:val="0"/>
        <w:adjustRightInd w:val="0"/>
        <w:rPr>
          <w:rFonts w:ascii="Times New Roman" w:eastAsia="Times New Roman" w:hAnsi="Times New Roman"/>
          <w:sz w:val="24"/>
          <w:szCs w:val="24"/>
          <w:lang w:eastAsia="hu-HU"/>
        </w:rPr>
      </w:pPr>
    </w:p>
    <w:p w14:paraId="45E814D7" w14:textId="61437F54" w:rsidR="0059672E" w:rsidRDefault="00377894" w:rsidP="006C7AF2">
      <w:pPr>
        <w:autoSpaceDE w:val="0"/>
        <w:autoSpaceDN w:val="0"/>
        <w:adjustRightInd w:val="0"/>
        <w:jc w:val="both"/>
        <w:outlineLvl w:val="0"/>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Nyúl Község </w:t>
      </w:r>
      <w:r w:rsidR="0059672E" w:rsidRPr="0059672E">
        <w:rPr>
          <w:rFonts w:ascii="Times New Roman" w:eastAsia="Times New Roman" w:hAnsi="Times New Roman"/>
          <w:sz w:val="24"/>
          <w:szCs w:val="24"/>
          <w:lang w:eastAsia="hu-HU"/>
        </w:rPr>
        <w:t>Önkormányzatának Képv</w:t>
      </w:r>
      <w:r w:rsidR="00296878">
        <w:rPr>
          <w:rFonts w:ascii="Times New Roman" w:eastAsia="Times New Roman" w:hAnsi="Times New Roman"/>
          <w:sz w:val="24"/>
          <w:szCs w:val="24"/>
          <w:lang w:eastAsia="hu-HU"/>
        </w:rPr>
        <w:t>iselő-testülete az adóztatás 2020</w:t>
      </w:r>
      <w:r w:rsidR="0059672E" w:rsidRPr="0059672E">
        <w:rPr>
          <w:rFonts w:ascii="Times New Roman" w:eastAsia="Times New Roman" w:hAnsi="Times New Roman"/>
          <w:sz w:val="24"/>
          <w:szCs w:val="24"/>
          <w:lang w:eastAsia="hu-HU"/>
        </w:rPr>
        <w:t xml:space="preserve">. </w:t>
      </w:r>
      <w:r w:rsidR="004B6D6A">
        <w:rPr>
          <w:rFonts w:ascii="Times New Roman" w:eastAsia="Times New Roman" w:hAnsi="Times New Roman"/>
          <w:sz w:val="24"/>
          <w:szCs w:val="24"/>
          <w:lang w:eastAsia="hu-HU"/>
        </w:rPr>
        <w:t>évi és 2021. I. fél</w:t>
      </w:r>
      <w:r w:rsidR="0059672E" w:rsidRPr="0059672E">
        <w:rPr>
          <w:rFonts w:ascii="Times New Roman" w:eastAsia="Times New Roman" w:hAnsi="Times New Roman"/>
          <w:sz w:val="24"/>
          <w:szCs w:val="24"/>
          <w:lang w:eastAsia="hu-HU"/>
        </w:rPr>
        <w:t xml:space="preserve">évi helyzetéről szóló – az előterjesztés szerinti - beszámolót elfogadja. </w:t>
      </w:r>
    </w:p>
    <w:p w14:paraId="7578A2A3" w14:textId="30044159" w:rsidR="00FB452B" w:rsidRDefault="00FB452B" w:rsidP="006C7AF2">
      <w:pPr>
        <w:autoSpaceDE w:val="0"/>
        <w:autoSpaceDN w:val="0"/>
        <w:adjustRightInd w:val="0"/>
        <w:jc w:val="both"/>
        <w:outlineLvl w:val="0"/>
        <w:rPr>
          <w:rFonts w:ascii="Times New Roman" w:eastAsia="Times New Roman" w:hAnsi="Times New Roman"/>
          <w:sz w:val="24"/>
          <w:szCs w:val="24"/>
          <w:lang w:eastAsia="hu-HU"/>
        </w:rPr>
      </w:pPr>
    </w:p>
    <w:p w14:paraId="2E4BD02B" w14:textId="2D7DDD7C" w:rsidR="00FB452B" w:rsidRDefault="00FB452B" w:rsidP="006C7AF2">
      <w:pPr>
        <w:autoSpaceDE w:val="0"/>
        <w:autoSpaceDN w:val="0"/>
        <w:adjustRightInd w:val="0"/>
        <w:jc w:val="both"/>
        <w:outlineLvl w:val="0"/>
        <w:rPr>
          <w:rFonts w:ascii="Times New Roman" w:eastAsia="Times New Roman" w:hAnsi="Times New Roman"/>
          <w:sz w:val="24"/>
          <w:szCs w:val="24"/>
          <w:lang w:eastAsia="hu-HU"/>
        </w:rPr>
      </w:pPr>
    </w:p>
    <w:p w14:paraId="50A6AC0C" w14:textId="25232592" w:rsidR="00FB452B" w:rsidRDefault="00FB452B" w:rsidP="006C7AF2">
      <w:pPr>
        <w:autoSpaceDE w:val="0"/>
        <w:autoSpaceDN w:val="0"/>
        <w:adjustRightInd w:val="0"/>
        <w:jc w:val="both"/>
        <w:outlineLvl w:val="0"/>
        <w:rPr>
          <w:rFonts w:ascii="Times New Roman" w:eastAsia="Times New Roman" w:hAnsi="Times New Roman"/>
          <w:sz w:val="24"/>
          <w:szCs w:val="24"/>
          <w:lang w:eastAsia="hu-HU"/>
        </w:rPr>
      </w:pPr>
    </w:p>
    <w:p w14:paraId="50652A61" w14:textId="0F431333" w:rsidR="00FB452B" w:rsidRDefault="00FB452B" w:rsidP="006C7AF2">
      <w:pPr>
        <w:autoSpaceDE w:val="0"/>
        <w:autoSpaceDN w:val="0"/>
        <w:adjustRightInd w:val="0"/>
        <w:jc w:val="both"/>
        <w:outlineLvl w:val="0"/>
        <w:rPr>
          <w:rFonts w:ascii="Times New Roman" w:eastAsia="Times New Roman" w:hAnsi="Times New Roman"/>
          <w:sz w:val="24"/>
          <w:szCs w:val="24"/>
          <w:lang w:eastAsia="hu-HU"/>
        </w:rPr>
      </w:pPr>
      <w:r>
        <w:rPr>
          <w:rFonts w:ascii="Times New Roman" w:eastAsia="Times New Roman" w:hAnsi="Times New Roman"/>
          <w:sz w:val="24"/>
          <w:szCs w:val="24"/>
          <w:lang w:eastAsia="hu-HU"/>
        </w:rPr>
        <w:t>Felelős: Takács Lajos jegyző</w:t>
      </w:r>
    </w:p>
    <w:p w14:paraId="1B443591" w14:textId="1777882F" w:rsidR="00FB452B" w:rsidRPr="0059672E" w:rsidRDefault="00FB452B" w:rsidP="006C7AF2">
      <w:pPr>
        <w:autoSpaceDE w:val="0"/>
        <w:autoSpaceDN w:val="0"/>
        <w:adjustRightInd w:val="0"/>
        <w:jc w:val="both"/>
        <w:outlineLvl w:val="0"/>
        <w:rPr>
          <w:rFonts w:ascii="Times New Roman" w:eastAsia="Times New Roman" w:hAnsi="Times New Roman"/>
          <w:b/>
          <w:bCs/>
          <w:kern w:val="32"/>
          <w:sz w:val="24"/>
          <w:szCs w:val="24"/>
          <w:lang w:eastAsia="hu-HU"/>
        </w:rPr>
      </w:pPr>
      <w:r>
        <w:rPr>
          <w:rFonts w:ascii="Times New Roman" w:eastAsia="Times New Roman" w:hAnsi="Times New Roman"/>
          <w:sz w:val="24"/>
          <w:szCs w:val="24"/>
          <w:lang w:eastAsia="hu-HU"/>
        </w:rPr>
        <w:t>Határidő: 2022. december 31. illetve folyamatos</w:t>
      </w:r>
    </w:p>
    <w:sectPr w:rsidR="00FB452B" w:rsidRPr="0059672E" w:rsidSect="00473010">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72E5" w14:textId="77777777" w:rsidR="00430686" w:rsidRDefault="00430686" w:rsidP="0037476A">
      <w:r>
        <w:separator/>
      </w:r>
    </w:p>
  </w:endnote>
  <w:endnote w:type="continuationSeparator" w:id="0">
    <w:p w14:paraId="0A3D4B04" w14:textId="77777777" w:rsidR="00430686" w:rsidRDefault="00430686" w:rsidP="0037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573354"/>
      <w:docPartObj>
        <w:docPartGallery w:val="Page Numbers (Bottom of Page)"/>
        <w:docPartUnique/>
      </w:docPartObj>
    </w:sdtPr>
    <w:sdtEndPr/>
    <w:sdtContent>
      <w:p w14:paraId="30D95084" w14:textId="77777777" w:rsidR="00094B75" w:rsidRDefault="00094B75">
        <w:pPr>
          <w:pStyle w:val="llb"/>
          <w:jc w:val="center"/>
        </w:pPr>
        <w:r>
          <w:fldChar w:fldCharType="begin"/>
        </w:r>
        <w:r>
          <w:instrText>PAGE   \* MERGEFORMAT</w:instrText>
        </w:r>
        <w:r>
          <w:fldChar w:fldCharType="separate"/>
        </w:r>
        <w:r w:rsidR="004B6D6A">
          <w:rPr>
            <w:noProof/>
          </w:rPr>
          <w:t>25</w:t>
        </w:r>
        <w:r>
          <w:fldChar w:fldCharType="end"/>
        </w:r>
      </w:p>
    </w:sdtContent>
  </w:sdt>
  <w:p w14:paraId="1BF2A13C" w14:textId="77777777" w:rsidR="00094B75" w:rsidRDefault="00094B7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C812" w14:textId="77777777" w:rsidR="00430686" w:rsidRDefault="00430686" w:rsidP="0037476A">
      <w:r>
        <w:separator/>
      </w:r>
    </w:p>
  </w:footnote>
  <w:footnote w:type="continuationSeparator" w:id="0">
    <w:p w14:paraId="13D7D019" w14:textId="77777777" w:rsidR="00430686" w:rsidRDefault="00430686" w:rsidP="0037476A">
      <w:r>
        <w:continuationSeparator/>
      </w:r>
    </w:p>
  </w:footnote>
  <w:footnote w:id="1">
    <w:p w14:paraId="32410FC1" w14:textId="446D9327" w:rsidR="00094B75" w:rsidRDefault="00094B75">
      <w:pPr>
        <w:pStyle w:val="Lbjegyzetszveg"/>
      </w:pPr>
      <w:r>
        <w:rPr>
          <w:rStyle w:val="Lbjegyzet-hivatkozs"/>
        </w:rPr>
        <w:footnoteRef/>
      </w:r>
      <w:r>
        <w:t xml:space="preserve"> </w:t>
      </w:r>
      <w:r w:rsidRPr="008C3BE8">
        <w:t>a táblázat már nem tartalmazza a g</w:t>
      </w:r>
      <w:r>
        <w:t>épjárműadóra vonatkozó tervszámokat</w:t>
      </w:r>
      <w:r w:rsidR="007F69D1">
        <w:t xml:space="preserve"> és bevételt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979"/>
    <w:multiLevelType w:val="hybridMultilevel"/>
    <w:tmpl w:val="A204E85C"/>
    <w:lvl w:ilvl="0" w:tplc="040E0001">
      <w:start w:val="1"/>
      <w:numFmt w:val="bullet"/>
      <w:lvlText w:val=""/>
      <w:lvlJc w:val="left"/>
      <w:pPr>
        <w:ind w:left="1140" w:hanging="360"/>
      </w:pPr>
      <w:rPr>
        <w:rFonts w:ascii="Symbol" w:hAnsi="Symbo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1" w15:restartNumberingAfterBreak="0">
    <w:nsid w:val="03627665"/>
    <w:multiLevelType w:val="hybridMultilevel"/>
    <w:tmpl w:val="A1443FB6"/>
    <w:lvl w:ilvl="0" w:tplc="040E000D">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03A04006"/>
    <w:multiLevelType w:val="hybridMultilevel"/>
    <w:tmpl w:val="5266AD3C"/>
    <w:lvl w:ilvl="0" w:tplc="BC42AE5A">
      <w:start w:val="3"/>
      <w:numFmt w:val="decimal"/>
      <w:lvlText w:val="%1"/>
      <w:lvlJc w:val="left"/>
      <w:pPr>
        <w:ind w:left="525" w:hanging="360"/>
      </w:pPr>
      <w:rPr>
        <w:rFonts w:hint="default"/>
      </w:rPr>
    </w:lvl>
    <w:lvl w:ilvl="1" w:tplc="040E0019" w:tentative="1">
      <w:start w:val="1"/>
      <w:numFmt w:val="lowerLetter"/>
      <w:lvlText w:val="%2."/>
      <w:lvlJc w:val="left"/>
      <w:pPr>
        <w:ind w:left="1245" w:hanging="360"/>
      </w:pPr>
    </w:lvl>
    <w:lvl w:ilvl="2" w:tplc="040E001B" w:tentative="1">
      <w:start w:val="1"/>
      <w:numFmt w:val="lowerRoman"/>
      <w:lvlText w:val="%3."/>
      <w:lvlJc w:val="right"/>
      <w:pPr>
        <w:ind w:left="1965" w:hanging="180"/>
      </w:pPr>
    </w:lvl>
    <w:lvl w:ilvl="3" w:tplc="040E000F" w:tentative="1">
      <w:start w:val="1"/>
      <w:numFmt w:val="decimal"/>
      <w:lvlText w:val="%4."/>
      <w:lvlJc w:val="left"/>
      <w:pPr>
        <w:ind w:left="2685" w:hanging="360"/>
      </w:pPr>
    </w:lvl>
    <w:lvl w:ilvl="4" w:tplc="040E0019" w:tentative="1">
      <w:start w:val="1"/>
      <w:numFmt w:val="lowerLetter"/>
      <w:lvlText w:val="%5."/>
      <w:lvlJc w:val="left"/>
      <w:pPr>
        <w:ind w:left="3405" w:hanging="360"/>
      </w:pPr>
    </w:lvl>
    <w:lvl w:ilvl="5" w:tplc="040E001B" w:tentative="1">
      <w:start w:val="1"/>
      <w:numFmt w:val="lowerRoman"/>
      <w:lvlText w:val="%6."/>
      <w:lvlJc w:val="right"/>
      <w:pPr>
        <w:ind w:left="4125" w:hanging="180"/>
      </w:pPr>
    </w:lvl>
    <w:lvl w:ilvl="6" w:tplc="040E000F" w:tentative="1">
      <w:start w:val="1"/>
      <w:numFmt w:val="decimal"/>
      <w:lvlText w:val="%7."/>
      <w:lvlJc w:val="left"/>
      <w:pPr>
        <w:ind w:left="4845" w:hanging="360"/>
      </w:pPr>
    </w:lvl>
    <w:lvl w:ilvl="7" w:tplc="040E0019" w:tentative="1">
      <w:start w:val="1"/>
      <w:numFmt w:val="lowerLetter"/>
      <w:lvlText w:val="%8."/>
      <w:lvlJc w:val="left"/>
      <w:pPr>
        <w:ind w:left="5565" w:hanging="360"/>
      </w:pPr>
    </w:lvl>
    <w:lvl w:ilvl="8" w:tplc="040E001B" w:tentative="1">
      <w:start w:val="1"/>
      <w:numFmt w:val="lowerRoman"/>
      <w:lvlText w:val="%9."/>
      <w:lvlJc w:val="right"/>
      <w:pPr>
        <w:ind w:left="6285" w:hanging="180"/>
      </w:pPr>
    </w:lvl>
  </w:abstractNum>
  <w:abstractNum w:abstractNumId="3" w15:restartNumberingAfterBreak="0">
    <w:nsid w:val="06A172FE"/>
    <w:multiLevelType w:val="hybridMultilevel"/>
    <w:tmpl w:val="BE10101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FA6C5C"/>
    <w:multiLevelType w:val="hybridMultilevel"/>
    <w:tmpl w:val="8622348C"/>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0BB70B26"/>
    <w:multiLevelType w:val="hybridMultilevel"/>
    <w:tmpl w:val="FA9CE010"/>
    <w:lvl w:ilvl="0" w:tplc="D95ADE5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CBC2F32"/>
    <w:multiLevelType w:val="hybridMultilevel"/>
    <w:tmpl w:val="68B08458"/>
    <w:lvl w:ilvl="0" w:tplc="E9C82978">
      <w:start w:val="25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4A2A88"/>
    <w:multiLevelType w:val="hybridMultilevel"/>
    <w:tmpl w:val="AEAA1CCA"/>
    <w:lvl w:ilvl="0" w:tplc="D3E8F1B0">
      <w:start w:val="4"/>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8" w15:restartNumberingAfterBreak="0">
    <w:nsid w:val="0F83373D"/>
    <w:multiLevelType w:val="hybridMultilevel"/>
    <w:tmpl w:val="32D219A4"/>
    <w:lvl w:ilvl="0" w:tplc="08A038EC">
      <w:start w:val="4"/>
      <w:numFmt w:val="decimal"/>
      <w:lvlText w:val="%1"/>
      <w:lvlJc w:val="left"/>
      <w:pPr>
        <w:ind w:left="570" w:hanging="360"/>
      </w:pPr>
      <w:rPr>
        <w:rFonts w:hint="default"/>
      </w:rPr>
    </w:lvl>
    <w:lvl w:ilvl="1" w:tplc="040E0019" w:tentative="1">
      <w:start w:val="1"/>
      <w:numFmt w:val="lowerLetter"/>
      <w:lvlText w:val="%2."/>
      <w:lvlJc w:val="left"/>
      <w:pPr>
        <w:ind w:left="1290" w:hanging="360"/>
      </w:pPr>
    </w:lvl>
    <w:lvl w:ilvl="2" w:tplc="040E001B" w:tentative="1">
      <w:start w:val="1"/>
      <w:numFmt w:val="lowerRoman"/>
      <w:lvlText w:val="%3."/>
      <w:lvlJc w:val="right"/>
      <w:pPr>
        <w:ind w:left="2010" w:hanging="180"/>
      </w:pPr>
    </w:lvl>
    <w:lvl w:ilvl="3" w:tplc="040E000F" w:tentative="1">
      <w:start w:val="1"/>
      <w:numFmt w:val="decimal"/>
      <w:lvlText w:val="%4."/>
      <w:lvlJc w:val="left"/>
      <w:pPr>
        <w:ind w:left="2730" w:hanging="360"/>
      </w:pPr>
    </w:lvl>
    <w:lvl w:ilvl="4" w:tplc="040E0019" w:tentative="1">
      <w:start w:val="1"/>
      <w:numFmt w:val="lowerLetter"/>
      <w:lvlText w:val="%5."/>
      <w:lvlJc w:val="left"/>
      <w:pPr>
        <w:ind w:left="3450" w:hanging="360"/>
      </w:pPr>
    </w:lvl>
    <w:lvl w:ilvl="5" w:tplc="040E001B" w:tentative="1">
      <w:start w:val="1"/>
      <w:numFmt w:val="lowerRoman"/>
      <w:lvlText w:val="%6."/>
      <w:lvlJc w:val="right"/>
      <w:pPr>
        <w:ind w:left="4170" w:hanging="180"/>
      </w:pPr>
    </w:lvl>
    <w:lvl w:ilvl="6" w:tplc="040E000F" w:tentative="1">
      <w:start w:val="1"/>
      <w:numFmt w:val="decimal"/>
      <w:lvlText w:val="%7."/>
      <w:lvlJc w:val="left"/>
      <w:pPr>
        <w:ind w:left="4890" w:hanging="360"/>
      </w:pPr>
    </w:lvl>
    <w:lvl w:ilvl="7" w:tplc="040E0019" w:tentative="1">
      <w:start w:val="1"/>
      <w:numFmt w:val="lowerLetter"/>
      <w:lvlText w:val="%8."/>
      <w:lvlJc w:val="left"/>
      <w:pPr>
        <w:ind w:left="5610" w:hanging="360"/>
      </w:pPr>
    </w:lvl>
    <w:lvl w:ilvl="8" w:tplc="040E001B" w:tentative="1">
      <w:start w:val="1"/>
      <w:numFmt w:val="lowerRoman"/>
      <w:lvlText w:val="%9."/>
      <w:lvlJc w:val="right"/>
      <w:pPr>
        <w:ind w:left="6330" w:hanging="180"/>
      </w:pPr>
    </w:lvl>
  </w:abstractNum>
  <w:abstractNum w:abstractNumId="9" w15:restartNumberingAfterBreak="0">
    <w:nsid w:val="1764102F"/>
    <w:multiLevelType w:val="hybridMultilevel"/>
    <w:tmpl w:val="54F6EC3E"/>
    <w:lvl w:ilvl="0" w:tplc="040E000F">
      <w:start w:val="1"/>
      <w:numFmt w:val="decimal"/>
      <w:lvlText w:val="%1."/>
      <w:lvlJc w:val="left"/>
      <w:pPr>
        <w:tabs>
          <w:tab w:val="num" w:pos="360"/>
        </w:tabs>
        <w:ind w:left="360" w:hanging="360"/>
      </w:pPr>
    </w:lvl>
    <w:lvl w:ilvl="1" w:tplc="1C427C54">
      <w:start w:val="6"/>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A625067"/>
    <w:multiLevelType w:val="hybridMultilevel"/>
    <w:tmpl w:val="6C50A056"/>
    <w:lvl w:ilvl="0" w:tplc="003A301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8C1F1F"/>
    <w:multiLevelType w:val="hybridMultilevel"/>
    <w:tmpl w:val="301CF0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B247CF5"/>
    <w:multiLevelType w:val="hybridMultilevel"/>
    <w:tmpl w:val="E2FC99AC"/>
    <w:lvl w:ilvl="0" w:tplc="CCAA2D9A">
      <w:start w:val="90"/>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6541876"/>
    <w:multiLevelType w:val="hybridMultilevel"/>
    <w:tmpl w:val="3DD460BA"/>
    <w:lvl w:ilvl="0" w:tplc="BEBCEC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AE7FB7"/>
    <w:multiLevelType w:val="hybridMultilevel"/>
    <w:tmpl w:val="2D0806A0"/>
    <w:lvl w:ilvl="0" w:tplc="040E0011">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29F27272"/>
    <w:multiLevelType w:val="hybridMultilevel"/>
    <w:tmpl w:val="A0BE0DFA"/>
    <w:lvl w:ilvl="0" w:tplc="040E000D">
      <w:start w:val="1"/>
      <w:numFmt w:val="bullet"/>
      <w:lvlText w:val=""/>
      <w:lvlJc w:val="left"/>
      <w:pPr>
        <w:ind w:left="1140" w:hanging="360"/>
      </w:pPr>
      <w:rPr>
        <w:rFonts w:ascii="Wingdings" w:hAnsi="Wingdings"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16" w15:restartNumberingAfterBreak="0">
    <w:nsid w:val="2A5A7A94"/>
    <w:multiLevelType w:val="hybridMultilevel"/>
    <w:tmpl w:val="8B048718"/>
    <w:lvl w:ilvl="0" w:tplc="D2C68924">
      <w:start w:val="5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CB31B8D"/>
    <w:multiLevelType w:val="hybridMultilevel"/>
    <w:tmpl w:val="6A2CB9A2"/>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8" w15:restartNumberingAfterBreak="0">
    <w:nsid w:val="2E121922"/>
    <w:multiLevelType w:val="hybridMultilevel"/>
    <w:tmpl w:val="0A443A8E"/>
    <w:lvl w:ilvl="0" w:tplc="980A522E">
      <w:start w:val="258"/>
      <w:numFmt w:val="bullet"/>
      <w:lvlText w:val="-"/>
      <w:lvlJc w:val="left"/>
      <w:pPr>
        <w:ind w:left="810" w:hanging="360"/>
      </w:pPr>
      <w:rPr>
        <w:rFonts w:ascii="Times New Roman" w:eastAsia="Times New Roman" w:hAnsi="Times New Roman" w:cs="Times New Roman" w:hint="default"/>
      </w:rPr>
    </w:lvl>
    <w:lvl w:ilvl="1" w:tplc="040E0003" w:tentative="1">
      <w:start w:val="1"/>
      <w:numFmt w:val="bullet"/>
      <w:lvlText w:val="o"/>
      <w:lvlJc w:val="left"/>
      <w:pPr>
        <w:ind w:left="1530" w:hanging="360"/>
      </w:pPr>
      <w:rPr>
        <w:rFonts w:ascii="Courier New" w:hAnsi="Courier New" w:cs="Courier New" w:hint="default"/>
      </w:rPr>
    </w:lvl>
    <w:lvl w:ilvl="2" w:tplc="040E0005" w:tentative="1">
      <w:start w:val="1"/>
      <w:numFmt w:val="bullet"/>
      <w:lvlText w:val=""/>
      <w:lvlJc w:val="left"/>
      <w:pPr>
        <w:ind w:left="2250" w:hanging="360"/>
      </w:pPr>
      <w:rPr>
        <w:rFonts w:ascii="Wingdings" w:hAnsi="Wingdings" w:hint="default"/>
      </w:rPr>
    </w:lvl>
    <w:lvl w:ilvl="3" w:tplc="040E0001" w:tentative="1">
      <w:start w:val="1"/>
      <w:numFmt w:val="bullet"/>
      <w:lvlText w:val=""/>
      <w:lvlJc w:val="left"/>
      <w:pPr>
        <w:ind w:left="2970" w:hanging="360"/>
      </w:pPr>
      <w:rPr>
        <w:rFonts w:ascii="Symbol" w:hAnsi="Symbol" w:hint="default"/>
      </w:rPr>
    </w:lvl>
    <w:lvl w:ilvl="4" w:tplc="040E0003" w:tentative="1">
      <w:start w:val="1"/>
      <w:numFmt w:val="bullet"/>
      <w:lvlText w:val="o"/>
      <w:lvlJc w:val="left"/>
      <w:pPr>
        <w:ind w:left="3690" w:hanging="360"/>
      </w:pPr>
      <w:rPr>
        <w:rFonts w:ascii="Courier New" w:hAnsi="Courier New" w:cs="Courier New" w:hint="default"/>
      </w:rPr>
    </w:lvl>
    <w:lvl w:ilvl="5" w:tplc="040E0005" w:tentative="1">
      <w:start w:val="1"/>
      <w:numFmt w:val="bullet"/>
      <w:lvlText w:val=""/>
      <w:lvlJc w:val="left"/>
      <w:pPr>
        <w:ind w:left="4410" w:hanging="360"/>
      </w:pPr>
      <w:rPr>
        <w:rFonts w:ascii="Wingdings" w:hAnsi="Wingdings" w:hint="default"/>
      </w:rPr>
    </w:lvl>
    <w:lvl w:ilvl="6" w:tplc="040E0001" w:tentative="1">
      <w:start w:val="1"/>
      <w:numFmt w:val="bullet"/>
      <w:lvlText w:val=""/>
      <w:lvlJc w:val="left"/>
      <w:pPr>
        <w:ind w:left="5130" w:hanging="360"/>
      </w:pPr>
      <w:rPr>
        <w:rFonts w:ascii="Symbol" w:hAnsi="Symbol" w:hint="default"/>
      </w:rPr>
    </w:lvl>
    <w:lvl w:ilvl="7" w:tplc="040E0003" w:tentative="1">
      <w:start w:val="1"/>
      <w:numFmt w:val="bullet"/>
      <w:lvlText w:val="o"/>
      <w:lvlJc w:val="left"/>
      <w:pPr>
        <w:ind w:left="5850" w:hanging="360"/>
      </w:pPr>
      <w:rPr>
        <w:rFonts w:ascii="Courier New" w:hAnsi="Courier New" w:cs="Courier New" w:hint="default"/>
      </w:rPr>
    </w:lvl>
    <w:lvl w:ilvl="8" w:tplc="040E0005" w:tentative="1">
      <w:start w:val="1"/>
      <w:numFmt w:val="bullet"/>
      <w:lvlText w:val=""/>
      <w:lvlJc w:val="left"/>
      <w:pPr>
        <w:ind w:left="6570" w:hanging="360"/>
      </w:pPr>
      <w:rPr>
        <w:rFonts w:ascii="Wingdings" w:hAnsi="Wingdings" w:hint="default"/>
      </w:rPr>
    </w:lvl>
  </w:abstractNum>
  <w:abstractNum w:abstractNumId="19" w15:restartNumberingAfterBreak="0">
    <w:nsid w:val="2E4E2514"/>
    <w:multiLevelType w:val="hybridMultilevel"/>
    <w:tmpl w:val="57B089B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ECF7BBC"/>
    <w:multiLevelType w:val="hybridMultilevel"/>
    <w:tmpl w:val="3E629B96"/>
    <w:lvl w:ilvl="0" w:tplc="040E0015">
      <w:start w:val="1"/>
      <w:numFmt w:val="upp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1" w15:restartNumberingAfterBreak="0">
    <w:nsid w:val="376309A8"/>
    <w:multiLevelType w:val="hybridMultilevel"/>
    <w:tmpl w:val="5F3E303A"/>
    <w:lvl w:ilvl="0" w:tplc="ECC0317A">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FA0B8D"/>
    <w:multiLevelType w:val="hybridMultilevel"/>
    <w:tmpl w:val="F8A6909E"/>
    <w:lvl w:ilvl="0" w:tplc="353208B2">
      <w:start w:val="3"/>
      <w:numFmt w:val="decimal"/>
      <w:lvlText w:val="%1"/>
      <w:lvlJc w:val="left"/>
      <w:pPr>
        <w:ind w:left="525" w:hanging="360"/>
      </w:pPr>
      <w:rPr>
        <w:rFonts w:hint="default"/>
      </w:rPr>
    </w:lvl>
    <w:lvl w:ilvl="1" w:tplc="040E0019" w:tentative="1">
      <w:start w:val="1"/>
      <w:numFmt w:val="lowerLetter"/>
      <w:lvlText w:val="%2."/>
      <w:lvlJc w:val="left"/>
      <w:pPr>
        <w:ind w:left="1245" w:hanging="360"/>
      </w:pPr>
    </w:lvl>
    <w:lvl w:ilvl="2" w:tplc="040E001B" w:tentative="1">
      <w:start w:val="1"/>
      <w:numFmt w:val="lowerRoman"/>
      <w:lvlText w:val="%3."/>
      <w:lvlJc w:val="right"/>
      <w:pPr>
        <w:ind w:left="1965" w:hanging="180"/>
      </w:pPr>
    </w:lvl>
    <w:lvl w:ilvl="3" w:tplc="040E000F" w:tentative="1">
      <w:start w:val="1"/>
      <w:numFmt w:val="decimal"/>
      <w:lvlText w:val="%4."/>
      <w:lvlJc w:val="left"/>
      <w:pPr>
        <w:ind w:left="2685" w:hanging="360"/>
      </w:pPr>
    </w:lvl>
    <w:lvl w:ilvl="4" w:tplc="040E0019" w:tentative="1">
      <w:start w:val="1"/>
      <w:numFmt w:val="lowerLetter"/>
      <w:lvlText w:val="%5."/>
      <w:lvlJc w:val="left"/>
      <w:pPr>
        <w:ind w:left="3405" w:hanging="360"/>
      </w:pPr>
    </w:lvl>
    <w:lvl w:ilvl="5" w:tplc="040E001B" w:tentative="1">
      <w:start w:val="1"/>
      <w:numFmt w:val="lowerRoman"/>
      <w:lvlText w:val="%6."/>
      <w:lvlJc w:val="right"/>
      <w:pPr>
        <w:ind w:left="4125" w:hanging="180"/>
      </w:pPr>
    </w:lvl>
    <w:lvl w:ilvl="6" w:tplc="040E000F" w:tentative="1">
      <w:start w:val="1"/>
      <w:numFmt w:val="decimal"/>
      <w:lvlText w:val="%7."/>
      <w:lvlJc w:val="left"/>
      <w:pPr>
        <w:ind w:left="4845" w:hanging="360"/>
      </w:pPr>
    </w:lvl>
    <w:lvl w:ilvl="7" w:tplc="040E0019" w:tentative="1">
      <w:start w:val="1"/>
      <w:numFmt w:val="lowerLetter"/>
      <w:lvlText w:val="%8."/>
      <w:lvlJc w:val="left"/>
      <w:pPr>
        <w:ind w:left="5565" w:hanging="360"/>
      </w:pPr>
    </w:lvl>
    <w:lvl w:ilvl="8" w:tplc="040E001B" w:tentative="1">
      <w:start w:val="1"/>
      <w:numFmt w:val="lowerRoman"/>
      <w:lvlText w:val="%9."/>
      <w:lvlJc w:val="right"/>
      <w:pPr>
        <w:ind w:left="6285" w:hanging="180"/>
      </w:pPr>
    </w:lvl>
  </w:abstractNum>
  <w:abstractNum w:abstractNumId="23" w15:restartNumberingAfterBreak="0">
    <w:nsid w:val="42561FFB"/>
    <w:multiLevelType w:val="hybridMultilevel"/>
    <w:tmpl w:val="E6C00702"/>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452F577A"/>
    <w:multiLevelType w:val="hybridMultilevel"/>
    <w:tmpl w:val="4FE217B4"/>
    <w:lvl w:ilvl="0" w:tplc="BEBCEC3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48CC0212"/>
    <w:multiLevelType w:val="hybridMultilevel"/>
    <w:tmpl w:val="B830A510"/>
    <w:lvl w:ilvl="0" w:tplc="7AD0F216">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5B9F359B"/>
    <w:multiLevelType w:val="hybridMultilevel"/>
    <w:tmpl w:val="B72C8C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EA60DF"/>
    <w:multiLevelType w:val="hybridMultilevel"/>
    <w:tmpl w:val="1F767C9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97C63"/>
    <w:multiLevelType w:val="hybridMultilevel"/>
    <w:tmpl w:val="2FA8C432"/>
    <w:lvl w:ilvl="0" w:tplc="00F03F84">
      <w:start w:val="3"/>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9" w15:restartNumberingAfterBreak="0">
    <w:nsid w:val="5DE26BA5"/>
    <w:multiLevelType w:val="hybridMultilevel"/>
    <w:tmpl w:val="6B66BAB2"/>
    <w:lvl w:ilvl="0" w:tplc="396EACC0">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077FFE"/>
    <w:multiLevelType w:val="hybridMultilevel"/>
    <w:tmpl w:val="0AEEAFD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60A14826"/>
    <w:multiLevelType w:val="hybridMultilevel"/>
    <w:tmpl w:val="BC3CE674"/>
    <w:lvl w:ilvl="0" w:tplc="8E98F050">
      <w:start w:val="4"/>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2" w15:restartNumberingAfterBreak="0">
    <w:nsid w:val="629F2A36"/>
    <w:multiLevelType w:val="hybridMultilevel"/>
    <w:tmpl w:val="045206C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3" w15:restartNumberingAfterBreak="0">
    <w:nsid w:val="655706CD"/>
    <w:multiLevelType w:val="hybridMultilevel"/>
    <w:tmpl w:val="B61CDD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671139A5"/>
    <w:multiLevelType w:val="hybridMultilevel"/>
    <w:tmpl w:val="7CB0C788"/>
    <w:lvl w:ilvl="0" w:tplc="8F60BD76">
      <w:start w:val="6"/>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7F919DD"/>
    <w:multiLevelType w:val="hybridMultilevel"/>
    <w:tmpl w:val="2F56460A"/>
    <w:lvl w:ilvl="0" w:tplc="BE4CF212">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C11160A"/>
    <w:multiLevelType w:val="hybridMultilevel"/>
    <w:tmpl w:val="7AEAE2DE"/>
    <w:lvl w:ilvl="0" w:tplc="61509184">
      <w:start w:val="5"/>
      <w:numFmt w:val="decimal"/>
      <w:lvlText w:val="%1"/>
      <w:lvlJc w:val="left"/>
      <w:pPr>
        <w:ind w:left="5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04F5A5E"/>
    <w:multiLevelType w:val="hybridMultilevel"/>
    <w:tmpl w:val="0E149BDA"/>
    <w:lvl w:ilvl="0" w:tplc="BEBCEC3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8" w15:restartNumberingAfterBreak="0">
    <w:nsid w:val="74BE7404"/>
    <w:multiLevelType w:val="hybridMultilevel"/>
    <w:tmpl w:val="BC6AD28E"/>
    <w:lvl w:ilvl="0" w:tplc="842ADDDC">
      <w:start w:val="700"/>
      <w:numFmt w:val="decimal"/>
      <w:lvlText w:val="%1"/>
      <w:lvlJc w:val="left"/>
      <w:pPr>
        <w:ind w:left="990" w:hanging="360"/>
      </w:pPr>
      <w:rPr>
        <w:rFonts w:hint="default"/>
      </w:rPr>
    </w:lvl>
    <w:lvl w:ilvl="1" w:tplc="040E0019" w:tentative="1">
      <w:start w:val="1"/>
      <w:numFmt w:val="lowerLetter"/>
      <w:lvlText w:val="%2."/>
      <w:lvlJc w:val="left"/>
      <w:pPr>
        <w:ind w:left="1710" w:hanging="360"/>
      </w:pPr>
    </w:lvl>
    <w:lvl w:ilvl="2" w:tplc="040E001B" w:tentative="1">
      <w:start w:val="1"/>
      <w:numFmt w:val="lowerRoman"/>
      <w:lvlText w:val="%3."/>
      <w:lvlJc w:val="right"/>
      <w:pPr>
        <w:ind w:left="2430" w:hanging="180"/>
      </w:pPr>
    </w:lvl>
    <w:lvl w:ilvl="3" w:tplc="040E000F" w:tentative="1">
      <w:start w:val="1"/>
      <w:numFmt w:val="decimal"/>
      <w:lvlText w:val="%4."/>
      <w:lvlJc w:val="left"/>
      <w:pPr>
        <w:ind w:left="3150" w:hanging="360"/>
      </w:pPr>
    </w:lvl>
    <w:lvl w:ilvl="4" w:tplc="040E0019" w:tentative="1">
      <w:start w:val="1"/>
      <w:numFmt w:val="lowerLetter"/>
      <w:lvlText w:val="%5."/>
      <w:lvlJc w:val="left"/>
      <w:pPr>
        <w:ind w:left="3870" w:hanging="360"/>
      </w:pPr>
    </w:lvl>
    <w:lvl w:ilvl="5" w:tplc="040E001B" w:tentative="1">
      <w:start w:val="1"/>
      <w:numFmt w:val="lowerRoman"/>
      <w:lvlText w:val="%6."/>
      <w:lvlJc w:val="right"/>
      <w:pPr>
        <w:ind w:left="4590" w:hanging="180"/>
      </w:pPr>
    </w:lvl>
    <w:lvl w:ilvl="6" w:tplc="040E000F" w:tentative="1">
      <w:start w:val="1"/>
      <w:numFmt w:val="decimal"/>
      <w:lvlText w:val="%7."/>
      <w:lvlJc w:val="left"/>
      <w:pPr>
        <w:ind w:left="5310" w:hanging="360"/>
      </w:pPr>
    </w:lvl>
    <w:lvl w:ilvl="7" w:tplc="040E0019" w:tentative="1">
      <w:start w:val="1"/>
      <w:numFmt w:val="lowerLetter"/>
      <w:lvlText w:val="%8."/>
      <w:lvlJc w:val="left"/>
      <w:pPr>
        <w:ind w:left="6030" w:hanging="360"/>
      </w:pPr>
    </w:lvl>
    <w:lvl w:ilvl="8" w:tplc="040E001B" w:tentative="1">
      <w:start w:val="1"/>
      <w:numFmt w:val="lowerRoman"/>
      <w:lvlText w:val="%9."/>
      <w:lvlJc w:val="right"/>
      <w:pPr>
        <w:ind w:left="6750" w:hanging="180"/>
      </w:pPr>
    </w:lvl>
  </w:abstractNum>
  <w:abstractNum w:abstractNumId="39" w15:restartNumberingAfterBreak="0">
    <w:nsid w:val="75F503B6"/>
    <w:multiLevelType w:val="hybridMultilevel"/>
    <w:tmpl w:val="01962BFC"/>
    <w:lvl w:ilvl="0" w:tplc="5EA2CCCA">
      <w:start w:val="3"/>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40" w15:restartNumberingAfterBreak="0">
    <w:nsid w:val="7657434A"/>
    <w:multiLevelType w:val="hybridMultilevel"/>
    <w:tmpl w:val="16ECDBB8"/>
    <w:lvl w:ilvl="0" w:tplc="040E0011">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1" w15:restartNumberingAfterBreak="0">
    <w:nsid w:val="76FC634C"/>
    <w:multiLevelType w:val="hybridMultilevel"/>
    <w:tmpl w:val="D2A80A78"/>
    <w:lvl w:ilvl="0" w:tplc="ED8E15AC">
      <w:start w:val="700"/>
      <w:numFmt w:val="decimal"/>
      <w:lvlText w:val="%1"/>
      <w:lvlJc w:val="left"/>
      <w:pPr>
        <w:ind w:left="1350" w:hanging="360"/>
      </w:pPr>
      <w:rPr>
        <w:rFonts w:hint="default"/>
      </w:rPr>
    </w:lvl>
    <w:lvl w:ilvl="1" w:tplc="040E0019" w:tentative="1">
      <w:start w:val="1"/>
      <w:numFmt w:val="lowerLetter"/>
      <w:lvlText w:val="%2."/>
      <w:lvlJc w:val="left"/>
      <w:pPr>
        <w:ind w:left="2070" w:hanging="360"/>
      </w:pPr>
    </w:lvl>
    <w:lvl w:ilvl="2" w:tplc="040E001B" w:tentative="1">
      <w:start w:val="1"/>
      <w:numFmt w:val="lowerRoman"/>
      <w:lvlText w:val="%3."/>
      <w:lvlJc w:val="right"/>
      <w:pPr>
        <w:ind w:left="2790" w:hanging="180"/>
      </w:pPr>
    </w:lvl>
    <w:lvl w:ilvl="3" w:tplc="040E000F" w:tentative="1">
      <w:start w:val="1"/>
      <w:numFmt w:val="decimal"/>
      <w:lvlText w:val="%4."/>
      <w:lvlJc w:val="left"/>
      <w:pPr>
        <w:ind w:left="3510" w:hanging="360"/>
      </w:pPr>
    </w:lvl>
    <w:lvl w:ilvl="4" w:tplc="040E0019" w:tentative="1">
      <w:start w:val="1"/>
      <w:numFmt w:val="lowerLetter"/>
      <w:lvlText w:val="%5."/>
      <w:lvlJc w:val="left"/>
      <w:pPr>
        <w:ind w:left="4230" w:hanging="360"/>
      </w:pPr>
    </w:lvl>
    <w:lvl w:ilvl="5" w:tplc="040E001B" w:tentative="1">
      <w:start w:val="1"/>
      <w:numFmt w:val="lowerRoman"/>
      <w:lvlText w:val="%6."/>
      <w:lvlJc w:val="right"/>
      <w:pPr>
        <w:ind w:left="4950" w:hanging="180"/>
      </w:pPr>
    </w:lvl>
    <w:lvl w:ilvl="6" w:tplc="040E000F" w:tentative="1">
      <w:start w:val="1"/>
      <w:numFmt w:val="decimal"/>
      <w:lvlText w:val="%7."/>
      <w:lvlJc w:val="left"/>
      <w:pPr>
        <w:ind w:left="5670" w:hanging="360"/>
      </w:pPr>
    </w:lvl>
    <w:lvl w:ilvl="7" w:tplc="040E0019" w:tentative="1">
      <w:start w:val="1"/>
      <w:numFmt w:val="lowerLetter"/>
      <w:lvlText w:val="%8."/>
      <w:lvlJc w:val="left"/>
      <w:pPr>
        <w:ind w:left="6390" w:hanging="360"/>
      </w:pPr>
    </w:lvl>
    <w:lvl w:ilvl="8" w:tplc="040E001B" w:tentative="1">
      <w:start w:val="1"/>
      <w:numFmt w:val="lowerRoman"/>
      <w:lvlText w:val="%9."/>
      <w:lvlJc w:val="right"/>
      <w:pPr>
        <w:ind w:left="7110" w:hanging="180"/>
      </w:pPr>
    </w:lvl>
  </w:abstractNum>
  <w:abstractNum w:abstractNumId="42" w15:restartNumberingAfterBreak="0">
    <w:nsid w:val="7985297A"/>
    <w:multiLevelType w:val="hybridMultilevel"/>
    <w:tmpl w:val="14067B40"/>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CB62E58"/>
    <w:multiLevelType w:val="hybridMultilevel"/>
    <w:tmpl w:val="60E46DF8"/>
    <w:lvl w:ilvl="0" w:tplc="BEBCEC3C">
      <w:start w:val="1"/>
      <w:numFmt w:val="bullet"/>
      <w:lvlText w:val=""/>
      <w:lvlJc w:val="left"/>
      <w:pPr>
        <w:ind w:left="1140" w:hanging="360"/>
      </w:pPr>
      <w:rPr>
        <w:rFonts w:ascii="Symbol" w:hAnsi="Symbo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num w:numId="1">
    <w:abstractNumId w:val="35"/>
  </w:num>
  <w:num w:numId="2">
    <w:abstractNumId w:val="25"/>
  </w:num>
  <w:num w:numId="3">
    <w:abstractNumId w:val="33"/>
  </w:num>
  <w:num w:numId="4">
    <w:abstractNumId w:val="40"/>
  </w:num>
  <w:num w:numId="5">
    <w:abstractNumId w:val="14"/>
  </w:num>
  <w:num w:numId="6">
    <w:abstractNumId w:val="5"/>
  </w:num>
  <w:num w:numId="7">
    <w:abstractNumId w:val="23"/>
  </w:num>
  <w:num w:numId="8">
    <w:abstractNumId w:val="1"/>
  </w:num>
  <w:num w:numId="9">
    <w:abstractNumId w:val="32"/>
  </w:num>
  <w:num w:numId="10">
    <w:abstractNumId w:val="20"/>
  </w:num>
  <w:num w:numId="11">
    <w:abstractNumId w:val="42"/>
  </w:num>
  <w:num w:numId="12">
    <w:abstractNumId w:val="15"/>
  </w:num>
  <w:num w:numId="13">
    <w:abstractNumId w:val="4"/>
  </w:num>
  <w:num w:numId="14">
    <w:abstractNumId w:val="9"/>
  </w:num>
  <w:num w:numId="15">
    <w:abstractNumId w:val="27"/>
  </w:num>
  <w:num w:numId="16">
    <w:abstractNumId w:val="3"/>
  </w:num>
  <w:num w:numId="17">
    <w:abstractNumId w:val="10"/>
  </w:num>
  <w:num w:numId="18">
    <w:abstractNumId w:val="29"/>
  </w:num>
  <w:num w:numId="19">
    <w:abstractNumId w:val="11"/>
  </w:num>
  <w:num w:numId="20">
    <w:abstractNumId w:val="19"/>
  </w:num>
  <w:num w:numId="21">
    <w:abstractNumId w:val="30"/>
  </w:num>
  <w:num w:numId="22">
    <w:abstractNumId w:val="0"/>
  </w:num>
  <w:num w:numId="23">
    <w:abstractNumId w:val="43"/>
  </w:num>
  <w:num w:numId="24">
    <w:abstractNumId w:val="24"/>
  </w:num>
  <w:num w:numId="25">
    <w:abstractNumId w:val="13"/>
  </w:num>
  <w:num w:numId="26">
    <w:abstractNumId w:val="37"/>
  </w:num>
  <w:num w:numId="27">
    <w:abstractNumId w:val="16"/>
  </w:num>
  <w:num w:numId="28">
    <w:abstractNumId w:val="21"/>
  </w:num>
  <w:num w:numId="29">
    <w:abstractNumId w:val="17"/>
  </w:num>
  <w:num w:numId="30">
    <w:abstractNumId w:val="26"/>
  </w:num>
  <w:num w:numId="31">
    <w:abstractNumId w:val="8"/>
  </w:num>
  <w:num w:numId="32">
    <w:abstractNumId w:val="39"/>
  </w:num>
  <w:num w:numId="33">
    <w:abstractNumId w:val="31"/>
  </w:num>
  <w:num w:numId="34">
    <w:abstractNumId w:val="7"/>
  </w:num>
  <w:num w:numId="35">
    <w:abstractNumId w:val="28"/>
  </w:num>
  <w:num w:numId="36">
    <w:abstractNumId w:val="36"/>
  </w:num>
  <w:num w:numId="37">
    <w:abstractNumId w:val="22"/>
  </w:num>
  <w:num w:numId="38">
    <w:abstractNumId w:val="2"/>
  </w:num>
  <w:num w:numId="39">
    <w:abstractNumId w:val="34"/>
  </w:num>
  <w:num w:numId="40">
    <w:abstractNumId w:val="18"/>
  </w:num>
  <w:num w:numId="41">
    <w:abstractNumId w:val="6"/>
  </w:num>
  <w:num w:numId="42">
    <w:abstractNumId w:val="38"/>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6A"/>
    <w:rsid w:val="000003F6"/>
    <w:rsid w:val="00001BE4"/>
    <w:rsid w:val="000074CC"/>
    <w:rsid w:val="000236D4"/>
    <w:rsid w:val="000242C5"/>
    <w:rsid w:val="0002601D"/>
    <w:rsid w:val="00036F28"/>
    <w:rsid w:val="0004410E"/>
    <w:rsid w:val="00044154"/>
    <w:rsid w:val="0006319F"/>
    <w:rsid w:val="00064271"/>
    <w:rsid w:val="00065433"/>
    <w:rsid w:val="00082641"/>
    <w:rsid w:val="00082899"/>
    <w:rsid w:val="000852AD"/>
    <w:rsid w:val="000864F4"/>
    <w:rsid w:val="000933E5"/>
    <w:rsid w:val="00094B75"/>
    <w:rsid w:val="000A4A60"/>
    <w:rsid w:val="000B0AB1"/>
    <w:rsid w:val="000B200F"/>
    <w:rsid w:val="000D0864"/>
    <w:rsid w:val="000D58DC"/>
    <w:rsid w:val="000D707C"/>
    <w:rsid w:val="000E114C"/>
    <w:rsid w:val="000E494F"/>
    <w:rsid w:val="000F56D1"/>
    <w:rsid w:val="000F5A1F"/>
    <w:rsid w:val="00107271"/>
    <w:rsid w:val="00112B37"/>
    <w:rsid w:val="00145D41"/>
    <w:rsid w:val="001479BF"/>
    <w:rsid w:val="00153D5A"/>
    <w:rsid w:val="00177EA5"/>
    <w:rsid w:val="00180D34"/>
    <w:rsid w:val="001821A2"/>
    <w:rsid w:val="00184BBA"/>
    <w:rsid w:val="00185A01"/>
    <w:rsid w:val="001879C6"/>
    <w:rsid w:val="001909DC"/>
    <w:rsid w:val="001914D9"/>
    <w:rsid w:val="00193168"/>
    <w:rsid w:val="00193C6F"/>
    <w:rsid w:val="001A4C5D"/>
    <w:rsid w:val="001B2E94"/>
    <w:rsid w:val="001C1264"/>
    <w:rsid w:val="001C1E63"/>
    <w:rsid w:val="001C5319"/>
    <w:rsid w:val="001C743B"/>
    <w:rsid w:val="001E0295"/>
    <w:rsid w:val="001E1580"/>
    <w:rsid w:val="001E63B2"/>
    <w:rsid w:val="001E66B8"/>
    <w:rsid w:val="001E781D"/>
    <w:rsid w:val="001E790E"/>
    <w:rsid w:val="001E7ADB"/>
    <w:rsid w:val="001F7EC2"/>
    <w:rsid w:val="0020546C"/>
    <w:rsid w:val="00205703"/>
    <w:rsid w:val="00216E6A"/>
    <w:rsid w:val="00217138"/>
    <w:rsid w:val="002356A7"/>
    <w:rsid w:val="002361DC"/>
    <w:rsid w:val="00237F57"/>
    <w:rsid w:val="00240BC9"/>
    <w:rsid w:val="002430DA"/>
    <w:rsid w:val="00243A04"/>
    <w:rsid w:val="00245E30"/>
    <w:rsid w:val="00247CC5"/>
    <w:rsid w:val="00250F3B"/>
    <w:rsid w:val="002510D3"/>
    <w:rsid w:val="00252E6C"/>
    <w:rsid w:val="002568E7"/>
    <w:rsid w:val="0026115C"/>
    <w:rsid w:val="002621E8"/>
    <w:rsid w:val="002652F2"/>
    <w:rsid w:val="002674F3"/>
    <w:rsid w:val="00280A24"/>
    <w:rsid w:val="00286FDF"/>
    <w:rsid w:val="002916B6"/>
    <w:rsid w:val="00293A52"/>
    <w:rsid w:val="00296878"/>
    <w:rsid w:val="002A199E"/>
    <w:rsid w:val="002A22BC"/>
    <w:rsid w:val="002B1F46"/>
    <w:rsid w:val="002B718C"/>
    <w:rsid w:val="002C7590"/>
    <w:rsid w:val="002D621D"/>
    <w:rsid w:val="002D6919"/>
    <w:rsid w:val="002E1CEA"/>
    <w:rsid w:val="002E2570"/>
    <w:rsid w:val="002F0CDA"/>
    <w:rsid w:val="002F4EC2"/>
    <w:rsid w:val="002F6AF2"/>
    <w:rsid w:val="002F78BC"/>
    <w:rsid w:val="0030174A"/>
    <w:rsid w:val="003022D4"/>
    <w:rsid w:val="0030386E"/>
    <w:rsid w:val="00310116"/>
    <w:rsid w:val="00324FC3"/>
    <w:rsid w:val="00325A8D"/>
    <w:rsid w:val="00327FE2"/>
    <w:rsid w:val="00331885"/>
    <w:rsid w:val="00337473"/>
    <w:rsid w:val="00346745"/>
    <w:rsid w:val="003573AE"/>
    <w:rsid w:val="003616F3"/>
    <w:rsid w:val="00363412"/>
    <w:rsid w:val="003638E6"/>
    <w:rsid w:val="0037339A"/>
    <w:rsid w:val="00373C33"/>
    <w:rsid w:val="0037476A"/>
    <w:rsid w:val="00377894"/>
    <w:rsid w:val="0038546A"/>
    <w:rsid w:val="003875F1"/>
    <w:rsid w:val="00395685"/>
    <w:rsid w:val="00397FE2"/>
    <w:rsid w:val="003A0DB4"/>
    <w:rsid w:val="003A4A42"/>
    <w:rsid w:val="003A58D3"/>
    <w:rsid w:val="003B1669"/>
    <w:rsid w:val="003B4644"/>
    <w:rsid w:val="003B782D"/>
    <w:rsid w:val="003C337A"/>
    <w:rsid w:val="003D1AE9"/>
    <w:rsid w:val="003D50AB"/>
    <w:rsid w:val="003E1270"/>
    <w:rsid w:val="003E4336"/>
    <w:rsid w:val="003E6CAA"/>
    <w:rsid w:val="003F27E2"/>
    <w:rsid w:val="003F6CB3"/>
    <w:rsid w:val="0040018A"/>
    <w:rsid w:val="00402A70"/>
    <w:rsid w:val="00407416"/>
    <w:rsid w:val="00415DD5"/>
    <w:rsid w:val="00416ECC"/>
    <w:rsid w:val="00424D18"/>
    <w:rsid w:val="004254AF"/>
    <w:rsid w:val="00430686"/>
    <w:rsid w:val="00443494"/>
    <w:rsid w:val="00443E93"/>
    <w:rsid w:val="00446C28"/>
    <w:rsid w:val="0045200A"/>
    <w:rsid w:val="004559A6"/>
    <w:rsid w:val="00455FAE"/>
    <w:rsid w:val="0046286A"/>
    <w:rsid w:val="004630BB"/>
    <w:rsid w:val="00463564"/>
    <w:rsid w:val="0046425D"/>
    <w:rsid w:val="00466C54"/>
    <w:rsid w:val="00467BC2"/>
    <w:rsid w:val="00467ECE"/>
    <w:rsid w:val="00473010"/>
    <w:rsid w:val="00474440"/>
    <w:rsid w:val="0047569D"/>
    <w:rsid w:val="00484F4E"/>
    <w:rsid w:val="0049080D"/>
    <w:rsid w:val="0049282A"/>
    <w:rsid w:val="00494199"/>
    <w:rsid w:val="004A1184"/>
    <w:rsid w:val="004A4760"/>
    <w:rsid w:val="004A51A8"/>
    <w:rsid w:val="004B0027"/>
    <w:rsid w:val="004B2DE1"/>
    <w:rsid w:val="004B2F6A"/>
    <w:rsid w:val="004B4E41"/>
    <w:rsid w:val="004B6D6A"/>
    <w:rsid w:val="004C01C7"/>
    <w:rsid w:val="004C4578"/>
    <w:rsid w:val="004D285F"/>
    <w:rsid w:val="004E376D"/>
    <w:rsid w:val="004E6CA7"/>
    <w:rsid w:val="004F0C12"/>
    <w:rsid w:val="004F248C"/>
    <w:rsid w:val="004F27B2"/>
    <w:rsid w:val="004F2A97"/>
    <w:rsid w:val="00500B04"/>
    <w:rsid w:val="00501597"/>
    <w:rsid w:val="00502C21"/>
    <w:rsid w:val="00503E54"/>
    <w:rsid w:val="00503F23"/>
    <w:rsid w:val="00507270"/>
    <w:rsid w:val="00510B32"/>
    <w:rsid w:val="00514185"/>
    <w:rsid w:val="005228BA"/>
    <w:rsid w:val="00523D60"/>
    <w:rsid w:val="00523EC1"/>
    <w:rsid w:val="0053513A"/>
    <w:rsid w:val="00537E21"/>
    <w:rsid w:val="00542E39"/>
    <w:rsid w:val="005479D3"/>
    <w:rsid w:val="00550422"/>
    <w:rsid w:val="00552CCD"/>
    <w:rsid w:val="005614EE"/>
    <w:rsid w:val="00561736"/>
    <w:rsid w:val="00564A4D"/>
    <w:rsid w:val="00567DA6"/>
    <w:rsid w:val="0057157A"/>
    <w:rsid w:val="00586303"/>
    <w:rsid w:val="0058795E"/>
    <w:rsid w:val="0059672E"/>
    <w:rsid w:val="00597D5D"/>
    <w:rsid w:val="005A125A"/>
    <w:rsid w:val="005A2EE4"/>
    <w:rsid w:val="005A5947"/>
    <w:rsid w:val="005A6E10"/>
    <w:rsid w:val="005B06C7"/>
    <w:rsid w:val="005B46C1"/>
    <w:rsid w:val="005B5D78"/>
    <w:rsid w:val="005B622D"/>
    <w:rsid w:val="005B7774"/>
    <w:rsid w:val="005C044A"/>
    <w:rsid w:val="005C0A97"/>
    <w:rsid w:val="005C2C0D"/>
    <w:rsid w:val="005C5B32"/>
    <w:rsid w:val="005C6DFE"/>
    <w:rsid w:val="005D4D2B"/>
    <w:rsid w:val="005D54BE"/>
    <w:rsid w:val="005D591F"/>
    <w:rsid w:val="005E0B0C"/>
    <w:rsid w:val="005E1DBB"/>
    <w:rsid w:val="005E2EC4"/>
    <w:rsid w:val="005E2F17"/>
    <w:rsid w:val="005E4CA3"/>
    <w:rsid w:val="005F2392"/>
    <w:rsid w:val="005F41AB"/>
    <w:rsid w:val="005F5219"/>
    <w:rsid w:val="005F6487"/>
    <w:rsid w:val="005F648A"/>
    <w:rsid w:val="00600A90"/>
    <w:rsid w:val="0060313C"/>
    <w:rsid w:val="00606419"/>
    <w:rsid w:val="00607604"/>
    <w:rsid w:val="006306A3"/>
    <w:rsid w:val="00636D63"/>
    <w:rsid w:val="00641DA7"/>
    <w:rsid w:val="006424CD"/>
    <w:rsid w:val="006467B4"/>
    <w:rsid w:val="00653893"/>
    <w:rsid w:val="00656EE3"/>
    <w:rsid w:val="006574FB"/>
    <w:rsid w:val="0066179A"/>
    <w:rsid w:val="0066424A"/>
    <w:rsid w:val="0066732E"/>
    <w:rsid w:val="00674102"/>
    <w:rsid w:val="006761BF"/>
    <w:rsid w:val="00676249"/>
    <w:rsid w:val="00677CFB"/>
    <w:rsid w:val="00684BA5"/>
    <w:rsid w:val="00691921"/>
    <w:rsid w:val="006929AE"/>
    <w:rsid w:val="00696E9C"/>
    <w:rsid w:val="006A0A08"/>
    <w:rsid w:val="006A12F2"/>
    <w:rsid w:val="006A4DB8"/>
    <w:rsid w:val="006C273A"/>
    <w:rsid w:val="006C7AF2"/>
    <w:rsid w:val="006D2643"/>
    <w:rsid w:val="006D57A1"/>
    <w:rsid w:val="006D5969"/>
    <w:rsid w:val="006E6CFC"/>
    <w:rsid w:val="006F0368"/>
    <w:rsid w:val="006F5E3E"/>
    <w:rsid w:val="006F68BF"/>
    <w:rsid w:val="007103B7"/>
    <w:rsid w:val="00710658"/>
    <w:rsid w:val="00710CE2"/>
    <w:rsid w:val="00710F3A"/>
    <w:rsid w:val="0072646E"/>
    <w:rsid w:val="00731F08"/>
    <w:rsid w:val="00736113"/>
    <w:rsid w:val="00737BB6"/>
    <w:rsid w:val="00740E60"/>
    <w:rsid w:val="007525CA"/>
    <w:rsid w:val="007727C1"/>
    <w:rsid w:val="007936BF"/>
    <w:rsid w:val="00793E47"/>
    <w:rsid w:val="007949C7"/>
    <w:rsid w:val="007958EA"/>
    <w:rsid w:val="007A11D2"/>
    <w:rsid w:val="007A13DB"/>
    <w:rsid w:val="007A3697"/>
    <w:rsid w:val="007A5A95"/>
    <w:rsid w:val="007A7DB5"/>
    <w:rsid w:val="007B2138"/>
    <w:rsid w:val="007B54D2"/>
    <w:rsid w:val="007D2473"/>
    <w:rsid w:val="007D4103"/>
    <w:rsid w:val="007E7444"/>
    <w:rsid w:val="007E7AB3"/>
    <w:rsid w:val="007F1494"/>
    <w:rsid w:val="007F69D1"/>
    <w:rsid w:val="00805C9D"/>
    <w:rsid w:val="008144F9"/>
    <w:rsid w:val="008166A3"/>
    <w:rsid w:val="00820729"/>
    <w:rsid w:val="0082411A"/>
    <w:rsid w:val="008252F7"/>
    <w:rsid w:val="008329A8"/>
    <w:rsid w:val="008428C0"/>
    <w:rsid w:val="00851F7F"/>
    <w:rsid w:val="00861210"/>
    <w:rsid w:val="00867E08"/>
    <w:rsid w:val="00871050"/>
    <w:rsid w:val="0087207C"/>
    <w:rsid w:val="00872B1A"/>
    <w:rsid w:val="00873ACB"/>
    <w:rsid w:val="00880CE4"/>
    <w:rsid w:val="00881A41"/>
    <w:rsid w:val="00884A88"/>
    <w:rsid w:val="00887E09"/>
    <w:rsid w:val="0089070A"/>
    <w:rsid w:val="00894C3B"/>
    <w:rsid w:val="008954C4"/>
    <w:rsid w:val="008A02A1"/>
    <w:rsid w:val="008B025F"/>
    <w:rsid w:val="008B12F0"/>
    <w:rsid w:val="008B2A4D"/>
    <w:rsid w:val="008B3A73"/>
    <w:rsid w:val="008C3BE8"/>
    <w:rsid w:val="008D6427"/>
    <w:rsid w:val="008D6529"/>
    <w:rsid w:val="008D708A"/>
    <w:rsid w:val="008E4625"/>
    <w:rsid w:val="008E505D"/>
    <w:rsid w:val="008F5377"/>
    <w:rsid w:val="009001DD"/>
    <w:rsid w:val="00900C8B"/>
    <w:rsid w:val="0090255D"/>
    <w:rsid w:val="00903193"/>
    <w:rsid w:val="009227A1"/>
    <w:rsid w:val="00926602"/>
    <w:rsid w:val="00930A49"/>
    <w:rsid w:val="00930C22"/>
    <w:rsid w:val="00931D28"/>
    <w:rsid w:val="009405C2"/>
    <w:rsid w:val="0094347A"/>
    <w:rsid w:val="009436DB"/>
    <w:rsid w:val="00947F9F"/>
    <w:rsid w:val="009503F7"/>
    <w:rsid w:val="00957043"/>
    <w:rsid w:val="00957B7E"/>
    <w:rsid w:val="0096200F"/>
    <w:rsid w:val="009668DC"/>
    <w:rsid w:val="00966DC3"/>
    <w:rsid w:val="00976A20"/>
    <w:rsid w:val="00982A77"/>
    <w:rsid w:val="0098381D"/>
    <w:rsid w:val="009877A7"/>
    <w:rsid w:val="00994A3A"/>
    <w:rsid w:val="00995879"/>
    <w:rsid w:val="009A023D"/>
    <w:rsid w:val="009A10B2"/>
    <w:rsid w:val="009A18D7"/>
    <w:rsid w:val="009A492E"/>
    <w:rsid w:val="009D2974"/>
    <w:rsid w:val="009D6737"/>
    <w:rsid w:val="009E6DCA"/>
    <w:rsid w:val="00A215AC"/>
    <w:rsid w:val="00A25073"/>
    <w:rsid w:val="00A25296"/>
    <w:rsid w:val="00A25DA0"/>
    <w:rsid w:val="00A415BE"/>
    <w:rsid w:val="00A42F64"/>
    <w:rsid w:val="00A431CE"/>
    <w:rsid w:val="00A6161D"/>
    <w:rsid w:val="00A64212"/>
    <w:rsid w:val="00A9368C"/>
    <w:rsid w:val="00A94DB1"/>
    <w:rsid w:val="00AA23CF"/>
    <w:rsid w:val="00AA52C4"/>
    <w:rsid w:val="00AA6D6F"/>
    <w:rsid w:val="00AB1605"/>
    <w:rsid w:val="00AB42BD"/>
    <w:rsid w:val="00AB7462"/>
    <w:rsid w:val="00AC1C70"/>
    <w:rsid w:val="00AC5E9E"/>
    <w:rsid w:val="00AD02DD"/>
    <w:rsid w:val="00AE10F4"/>
    <w:rsid w:val="00AE5F0F"/>
    <w:rsid w:val="00AE64D7"/>
    <w:rsid w:val="00AF3A91"/>
    <w:rsid w:val="00AF5B18"/>
    <w:rsid w:val="00B0134F"/>
    <w:rsid w:val="00B043F4"/>
    <w:rsid w:val="00B101D4"/>
    <w:rsid w:val="00B127C1"/>
    <w:rsid w:val="00B147B4"/>
    <w:rsid w:val="00B2376B"/>
    <w:rsid w:val="00B32E24"/>
    <w:rsid w:val="00B43329"/>
    <w:rsid w:val="00B4608F"/>
    <w:rsid w:val="00B519A6"/>
    <w:rsid w:val="00B611BF"/>
    <w:rsid w:val="00B635C0"/>
    <w:rsid w:val="00B64E1E"/>
    <w:rsid w:val="00B65865"/>
    <w:rsid w:val="00B75070"/>
    <w:rsid w:val="00B75837"/>
    <w:rsid w:val="00B86AAD"/>
    <w:rsid w:val="00B919AD"/>
    <w:rsid w:val="00B97E87"/>
    <w:rsid w:val="00BA4AB1"/>
    <w:rsid w:val="00BA7205"/>
    <w:rsid w:val="00BA7EA6"/>
    <w:rsid w:val="00BA7FB0"/>
    <w:rsid w:val="00BB346E"/>
    <w:rsid w:val="00BB39D7"/>
    <w:rsid w:val="00BB46CD"/>
    <w:rsid w:val="00BB6FE9"/>
    <w:rsid w:val="00BB7C18"/>
    <w:rsid w:val="00BC0EFC"/>
    <w:rsid w:val="00BC5063"/>
    <w:rsid w:val="00BD106F"/>
    <w:rsid w:val="00BD2977"/>
    <w:rsid w:val="00BD581F"/>
    <w:rsid w:val="00BE178B"/>
    <w:rsid w:val="00BF1D44"/>
    <w:rsid w:val="00BF78DD"/>
    <w:rsid w:val="00C007E4"/>
    <w:rsid w:val="00C03E21"/>
    <w:rsid w:val="00C11F83"/>
    <w:rsid w:val="00C12720"/>
    <w:rsid w:val="00C24C15"/>
    <w:rsid w:val="00C27644"/>
    <w:rsid w:val="00C3135F"/>
    <w:rsid w:val="00C31F95"/>
    <w:rsid w:val="00C32D08"/>
    <w:rsid w:val="00C341D4"/>
    <w:rsid w:val="00C41AD7"/>
    <w:rsid w:val="00C5145F"/>
    <w:rsid w:val="00C54525"/>
    <w:rsid w:val="00C55791"/>
    <w:rsid w:val="00C6020A"/>
    <w:rsid w:val="00C62693"/>
    <w:rsid w:val="00C63D25"/>
    <w:rsid w:val="00C7042C"/>
    <w:rsid w:val="00C71966"/>
    <w:rsid w:val="00C76B27"/>
    <w:rsid w:val="00C844BD"/>
    <w:rsid w:val="00C84FAA"/>
    <w:rsid w:val="00C90CDC"/>
    <w:rsid w:val="00CA4535"/>
    <w:rsid w:val="00CC0729"/>
    <w:rsid w:val="00CC1299"/>
    <w:rsid w:val="00CC40EF"/>
    <w:rsid w:val="00CC6301"/>
    <w:rsid w:val="00CE3F8B"/>
    <w:rsid w:val="00CF7C09"/>
    <w:rsid w:val="00D06A2F"/>
    <w:rsid w:val="00D145AB"/>
    <w:rsid w:val="00D156F5"/>
    <w:rsid w:val="00D23363"/>
    <w:rsid w:val="00D31343"/>
    <w:rsid w:val="00D3671B"/>
    <w:rsid w:val="00D54CAE"/>
    <w:rsid w:val="00D66446"/>
    <w:rsid w:val="00D6681E"/>
    <w:rsid w:val="00D84E32"/>
    <w:rsid w:val="00D864ED"/>
    <w:rsid w:val="00DA1330"/>
    <w:rsid w:val="00DA6661"/>
    <w:rsid w:val="00DB3B7E"/>
    <w:rsid w:val="00DB7C88"/>
    <w:rsid w:val="00DE0701"/>
    <w:rsid w:val="00DE129E"/>
    <w:rsid w:val="00DF1C3A"/>
    <w:rsid w:val="00DF6BDA"/>
    <w:rsid w:val="00E00370"/>
    <w:rsid w:val="00E127F2"/>
    <w:rsid w:val="00E22E6F"/>
    <w:rsid w:val="00E3284A"/>
    <w:rsid w:val="00E353EF"/>
    <w:rsid w:val="00E356A4"/>
    <w:rsid w:val="00E416CD"/>
    <w:rsid w:val="00E4371C"/>
    <w:rsid w:val="00E4489D"/>
    <w:rsid w:val="00E458E2"/>
    <w:rsid w:val="00E500C3"/>
    <w:rsid w:val="00E53CFF"/>
    <w:rsid w:val="00E5490D"/>
    <w:rsid w:val="00E609E5"/>
    <w:rsid w:val="00E67CBA"/>
    <w:rsid w:val="00E74AF7"/>
    <w:rsid w:val="00E9172E"/>
    <w:rsid w:val="00E9379C"/>
    <w:rsid w:val="00EB2383"/>
    <w:rsid w:val="00EC15C3"/>
    <w:rsid w:val="00ED2051"/>
    <w:rsid w:val="00ED25BE"/>
    <w:rsid w:val="00ED4D63"/>
    <w:rsid w:val="00ED55FD"/>
    <w:rsid w:val="00ED6F6D"/>
    <w:rsid w:val="00EE0E5D"/>
    <w:rsid w:val="00EE3E12"/>
    <w:rsid w:val="00EE49EA"/>
    <w:rsid w:val="00EF775D"/>
    <w:rsid w:val="00F01301"/>
    <w:rsid w:val="00F120D7"/>
    <w:rsid w:val="00F1539D"/>
    <w:rsid w:val="00F21017"/>
    <w:rsid w:val="00F2122F"/>
    <w:rsid w:val="00F3091C"/>
    <w:rsid w:val="00F330C8"/>
    <w:rsid w:val="00F33232"/>
    <w:rsid w:val="00F335FD"/>
    <w:rsid w:val="00F3381E"/>
    <w:rsid w:val="00F36F63"/>
    <w:rsid w:val="00F43CB5"/>
    <w:rsid w:val="00F55CE8"/>
    <w:rsid w:val="00F5700B"/>
    <w:rsid w:val="00F60518"/>
    <w:rsid w:val="00F7097F"/>
    <w:rsid w:val="00F71C6B"/>
    <w:rsid w:val="00F71F46"/>
    <w:rsid w:val="00F75463"/>
    <w:rsid w:val="00F761E4"/>
    <w:rsid w:val="00F805C9"/>
    <w:rsid w:val="00F861FA"/>
    <w:rsid w:val="00F920BC"/>
    <w:rsid w:val="00F97590"/>
    <w:rsid w:val="00FB2414"/>
    <w:rsid w:val="00FB3987"/>
    <w:rsid w:val="00FB452B"/>
    <w:rsid w:val="00FC08D4"/>
    <w:rsid w:val="00FC1B9E"/>
    <w:rsid w:val="00FC42FE"/>
    <w:rsid w:val="00FD0455"/>
    <w:rsid w:val="00FD1E30"/>
    <w:rsid w:val="00FD5EE1"/>
    <w:rsid w:val="00FE2F19"/>
    <w:rsid w:val="00FE70D3"/>
    <w:rsid w:val="00FF43BD"/>
    <w:rsid w:val="00FF7E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F3B0"/>
  <w15:docId w15:val="{020D6A95-1FE4-4A6B-A022-4F3318EF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7476A"/>
    <w:rPr>
      <w:sz w:val="22"/>
      <w:szCs w:val="22"/>
      <w:lang w:eastAsia="en-US"/>
    </w:rPr>
  </w:style>
  <w:style w:type="paragraph" w:styleId="Cmsor1">
    <w:name w:val="heading 1"/>
    <w:basedOn w:val="Norml"/>
    <w:next w:val="Norml"/>
    <w:link w:val="Cmsor1Char"/>
    <w:qFormat/>
    <w:locked/>
    <w:rsid w:val="009D2974"/>
    <w:pPr>
      <w:keepNext/>
      <w:spacing w:before="240" w:after="60"/>
      <w:outlineLvl w:val="0"/>
    </w:pPr>
    <w:rPr>
      <w:rFonts w:ascii="Cambria" w:eastAsia="Times New Roman" w:hAnsi="Cambria"/>
      <w:b/>
      <w:bCs/>
      <w:kern w:val="32"/>
      <w:sz w:val="32"/>
      <w:szCs w:val="32"/>
    </w:rPr>
  </w:style>
  <w:style w:type="paragraph" w:styleId="Cmsor2">
    <w:name w:val="heading 2"/>
    <w:basedOn w:val="Norml"/>
    <w:next w:val="Norml"/>
    <w:link w:val="Cmsor2Char"/>
    <w:unhideWhenUsed/>
    <w:qFormat/>
    <w:locked/>
    <w:rsid w:val="007A7D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locked/>
    <w:rsid w:val="003038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nhideWhenUsed/>
    <w:qFormat/>
    <w:locked/>
    <w:rsid w:val="003038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37476A"/>
    <w:pPr>
      <w:autoSpaceDE w:val="0"/>
      <w:autoSpaceDN w:val="0"/>
      <w:adjustRightInd w:val="0"/>
    </w:pPr>
    <w:rPr>
      <w:rFonts w:ascii="Century Gothic" w:hAnsi="Century Gothic" w:cs="Century Gothic"/>
      <w:color w:val="000000"/>
      <w:sz w:val="24"/>
      <w:szCs w:val="24"/>
      <w:lang w:eastAsia="en-US"/>
    </w:rPr>
  </w:style>
  <w:style w:type="paragraph" w:styleId="lfej">
    <w:name w:val="header"/>
    <w:basedOn w:val="Norml"/>
    <w:link w:val="lfejChar"/>
    <w:uiPriority w:val="99"/>
    <w:rsid w:val="0037476A"/>
    <w:pPr>
      <w:tabs>
        <w:tab w:val="center" w:pos="4536"/>
        <w:tab w:val="right" w:pos="9072"/>
      </w:tabs>
    </w:pPr>
  </w:style>
  <w:style w:type="character" w:customStyle="1" w:styleId="lfejChar">
    <w:name w:val="Élőfej Char"/>
    <w:link w:val="lfej"/>
    <w:uiPriority w:val="99"/>
    <w:locked/>
    <w:rsid w:val="0037476A"/>
    <w:rPr>
      <w:rFonts w:ascii="Calibri" w:hAnsi="Calibri" w:cs="Times New Roman"/>
    </w:rPr>
  </w:style>
  <w:style w:type="paragraph" w:styleId="llb">
    <w:name w:val="footer"/>
    <w:basedOn w:val="Norml"/>
    <w:link w:val="llbChar"/>
    <w:uiPriority w:val="99"/>
    <w:rsid w:val="0037476A"/>
    <w:pPr>
      <w:tabs>
        <w:tab w:val="center" w:pos="4536"/>
        <w:tab w:val="right" w:pos="9072"/>
      </w:tabs>
    </w:pPr>
  </w:style>
  <w:style w:type="character" w:customStyle="1" w:styleId="llbChar">
    <w:name w:val="Élőláb Char"/>
    <w:link w:val="llb"/>
    <w:uiPriority w:val="99"/>
    <w:locked/>
    <w:rsid w:val="0037476A"/>
    <w:rPr>
      <w:rFonts w:ascii="Calibri" w:hAnsi="Calibri" w:cs="Times New Roman"/>
    </w:rPr>
  </w:style>
  <w:style w:type="paragraph" w:styleId="Listaszerbekezds">
    <w:name w:val="List Paragraph"/>
    <w:basedOn w:val="Norml"/>
    <w:uiPriority w:val="99"/>
    <w:qFormat/>
    <w:rsid w:val="001909DC"/>
    <w:pPr>
      <w:ind w:left="720"/>
      <w:contextualSpacing/>
    </w:pPr>
  </w:style>
  <w:style w:type="paragraph" w:styleId="Szvegtrzsbehzssal">
    <w:name w:val="Body Text Indent"/>
    <w:basedOn w:val="Norml"/>
    <w:link w:val="SzvegtrzsbehzssalChar"/>
    <w:uiPriority w:val="99"/>
    <w:semiHidden/>
    <w:rsid w:val="008166A3"/>
    <w:pPr>
      <w:ind w:left="709"/>
      <w:jc w:val="both"/>
    </w:pPr>
    <w:rPr>
      <w:rFonts w:ascii="Times New Roman" w:eastAsia="Times New Roman" w:hAnsi="Times New Roman"/>
      <w:sz w:val="24"/>
      <w:szCs w:val="24"/>
      <w:lang w:eastAsia="hu-HU"/>
    </w:rPr>
  </w:style>
  <w:style w:type="character" w:customStyle="1" w:styleId="SzvegtrzsbehzssalChar">
    <w:name w:val="Szövegtörzs behúzással Char"/>
    <w:link w:val="Szvegtrzsbehzssal"/>
    <w:uiPriority w:val="99"/>
    <w:semiHidden/>
    <w:locked/>
    <w:rsid w:val="008166A3"/>
    <w:rPr>
      <w:rFonts w:ascii="Times New Roman" w:hAnsi="Times New Roman" w:cs="Times New Roman"/>
      <w:sz w:val="24"/>
      <w:szCs w:val="24"/>
      <w:lang w:eastAsia="hu-HU"/>
    </w:rPr>
  </w:style>
  <w:style w:type="table" w:styleId="Rcsostblzat">
    <w:name w:val="Table Grid"/>
    <w:basedOn w:val="Normltblzat"/>
    <w:uiPriority w:val="99"/>
    <w:rsid w:val="00D66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443494"/>
    <w:rPr>
      <w:rFonts w:ascii="Tahoma" w:hAnsi="Tahoma" w:cs="Tahoma"/>
      <w:sz w:val="16"/>
      <w:szCs w:val="16"/>
    </w:rPr>
  </w:style>
  <w:style w:type="character" w:customStyle="1" w:styleId="BuborkszvegChar">
    <w:name w:val="Buborékszöveg Char"/>
    <w:link w:val="Buborkszveg"/>
    <w:uiPriority w:val="99"/>
    <w:semiHidden/>
    <w:rsid w:val="00C103D7"/>
    <w:rPr>
      <w:rFonts w:ascii="Times New Roman" w:hAnsi="Times New Roman"/>
      <w:sz w:val="0"/>
      <w:szCs w:val="0"/>
      <w:lang w:eastAsia="en-US"/>
    </w:rPr>
  </w:style>
  <w:style w:type="paragraph" w:customStyle="1" w:styleId="ListParagraph1">
    <w:name w:val="List Paragraph1"/>
    <w:basedOn w:val="Norml"/>
    <w:uiPriority w:val="99"/>
    <w:rsid w:val="00250F3B"/>
    <w:pPr>
      <w:spacing w:after="200" w:line="276" w:lineRule="auto"/>
      <w:ind w:left="720"/>
      <w:contextualSpacing/>
    </w:pPr>
  </w:style>
  <w:style w:type="paragraph" w:styleId="Cm">
    <w:name w:val="Title"/>
    <w:basedOn w:val="Norml"/>
    <w:next w:val="Norml"/>
    <w:link w:val="CmChar"/>
    <w:qFormat/>
    <w:locked/>
    <w:rsid w:val="009D2974"/>
    <w:pPr>
      <w:spacing w:before="240" w:after="60"/>
      <w:jc w:val="center"/>
      <w:outlineLvl w:val="0"/>
    </w:pPr>
    <w:rPr>
      <w:rFonts w:ascii="Cambria" w:eastAsia="Times New Roman" w:hAnsi="Cambria"/>
      <w:b/>
      <w:bCs/>
      <w:kern w:val="28"/>
      <w:sz w:val="32"/>
      <w:szCs w:val="32"/>
    </w:rPr>
  </w:style>
  <w:style w:type="character" w:customStyle="1" w:styleId="CmChar">
    <w:name w:val="Cím Char"/>
    <w:link w:val="Cm"/>
    <w:rsid w:val="009D2974"/>
    <w:rPr>
      <w:rFonts w:ascii="Cambria" w:eastAsia="Times New Roman" w:hAnsi="Cambria" w:cs="Times New Roman"/>
      <w:b/>
      <w:bCs/>
      <w:kern w:val="28"/>
      <w:sz w:val="32"/>
      <w:szCs w:val="32"/>
      <w:lang w:eastAsia="en-US"/>
    </w:rPr>
  </w:style>
  <w:style w:type="character" w:customStyle="1" w:styleId="Cmsor1Char">
    <w:name w:val="Címsor 1 Char"/>
    <w:link w:val="Cmsor1"/>
    <w:rsid w:val="009D2974"/>
    <w:rPr>
      <w:rFonts w:ascii="Cambria" w:eastAsia="Times New Roman" w:hAnsi="Cambria" w:cs="Times New Roman"/>
      <w:b/>
      <w:bCs/>
      <w:kern w:val="32"/>
      <w:sz w:val="32"/>
      <w:szCs w:val="32"/>
      <w:lang w:eastAsia="en-US"/>
    </w:rPr>
  </w:style>
  <w:style w:type="character" w:customStyle="1" w:styleId="Cmsor2Char">
    <w:name w:val="Címsor 2 Char"/>
    <w:basedOn w:val="Bekezdsalapbettpusa"/>
    <w:link w:val="Cmsor2"/>
    <w:rsid w:val="007A7DB5"/>
    <w:rPr>
      <w:rFonts w:asciiTheme="majorHAnsi" w:eastAsiaTheme="majorEastAsia" w:hAnsiTheme="majorHAnsi" w:cstheme="majorBidi"/>
      <w:color w:val="365F91" w:themeColor="accent1" w:themeShade="BF"/>
      <w:sz w:val="26"/>
      <w:szCs w:val="26"/>
      <w:lang w:eastAsia="en-US"/>
    </w:rPr>
  </w:style>
  <w:style w:type="character" w:customStyle="1" w:styleId="Cmsor3Char">
    <w:name w:val="Címsor 3 Char"/>
    <w:basedOn w:val="Bekezdsalapbettpusa"/>
    <w:link w:val="Cmsor3"/>
    <w:rsid w:val="0030386E"/>
    <w:rPr>
      <w:rFonts w:asciiTheme="majorHAnsi" w:eastAsiaTheme="majorEastAsia" w:hAnsiTheme="majorHAnsi" w:cstheme="majorBidi"/>
      <w:color w:val="243F60" w:themeColor="accent1" w:themeShade="7F"/>
      <w:sz w:val="24"/>
      <w:szCs w:val="24"/>
      <w:lang w:eastAsia="en-US"/>
    </w:rPr>
  </w:style>
  <w:style w:type="character" w:customStyle="1" w:styleId="Cmsor4Char">
    <w:name w:val="Címsor 4 Char"/>
    <w:basedOn w:val="Bekezdsalapbettpusa"/>
    <w:link w:val="Cmsor4"/>
    <w:rsid w:val="0030386E"/>
    <w:rPr>
      <w:rFonts w:asciiTheme="majorHAnsi" w:eastAsiaTheme="majorEastAsia" w:hAnsiTheme="majorHAnsi" w:cstheme="majorBidi"/>
      <w:i/>
      <w:iCs/>
      <w:color w:val="365F91" w:themeColor="accent1" w:themeShade="BF"/>
      <w:sz w:val="22"/>
      <w:szCs w:val="22"/>
      <w:lang w:eastAsia="en-US"/>
    </w:rPr>
  </w:style>
  <w:style w:type="paragraph" w:styleId="Lbjegyzetszveg">
    <w:name w:val="footnote text"/>
    <w:basedOn w:val="Norml"/>
    <w:link w:val="LbjegyzetszvegChar"/>
    <w:semiHidden/>
    <w:rsid w:val="00676249"/>
    <w:rPr>
      <w:rFonts w:ascii="Times New Roman" w:eastAsia="Times New Roman" w:hAnsi="Times New Roman"/>
      <w:sz w:val="20"/>
      <w:szCs w:val="20"/>
      <w:lang w:eastAsia="hu-HU"/>
    </w:rPr>
  </w:style>
  <w:style w:type="character" w:customStyle="1" w:styleId="LbjegyzetszvegChar">
    <w:name w:val="Lábjegyzetszöveg Char"/>
    <w:basedOn w:val="Bekezdsalapbettpusa"/>
    <w:link w:val="Lbjegyzetszveg"/>
    <w:semiHidden/>
    <w:rsid w:val="00676249"/>
    <w:rPr>
      <w:rFonts w:ascii="Times New Roman" w:eastAsia="Times New Roman" w:hAnsi="Times New Roman"/>
    </w:rPr>
  </w:style>
  <w:style w:type="character" w:styleId="Lbjegyzet-hivatkozs">
    <w:name w:val="footnote reference"/>
    <w:uiPriority w:val="99"/>
    <w:semiHidden/>
    <w:rsid w:val="00676249"/>
    <w:rPr>
      <w:vertAlign w:val="superscript"/>
    </w:rPr>
  </w:style>
  <w:style w:type="paragraph" w:styleId="Kpalrs">
    <w:name w:val="caption"/>
    <w:basedOn w:val="Norml"/>
    <w:next w:val="Norml"/>
    <w:qFormat/>
    <w:locked/>
    <w:rsid w:val="00676249"/>
    <w:rPr>
      <w:rFonts w:ascii="Times New Roman" w:eastAsia="Times New Roman" w:hAnsi="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7145">
      <w:bodyDiv w:val="1"/>
      <w:marLeft w:val="0"/>
      <w:marRight w:val="0"/>
      <w:marTop w:val="0"/>
      <w:marBottom w:val="0"/>
      <w:divBdr>
        <w:top w:val="none" w:sz="0" w:space="0" w:color="auto"/>
        <w:left w:val="none" w:sz="0" w:space="0" w:color="auto"/>
        <w:bottom w:val="none" w:sz="0" w:space="0" w:color="auto"/>
        <w:right w:val="none" w:sz="0" w:space="0" w:color="auto"/>
      </w:divBdr>
    </w:div>
    <w:div w:id="41444364">
      <w:bodyDiv w:val="1"/>
      <w:marLeft w:val="0"/>
      <w:marRight w:val="0"/>
      <w:marTop w:val="0"/>
      <w:marBottom w:val="0"/>
      <w:divBdr>
        <w:top w:val="none" w:sz="0" w:space="0" w:color="auto"/>
        <w:left w:val="none" w:sz="0" w:space="0" w:color="auto"/>
        <w:bottom w:val="none" w:sz="0" w:space="0" w:color="auto"/>
        <w:right w:val="none" w:sz="0" w:space="0" w:color="auto"/>
      </w:divBdr>
    </w:div>
    <w:div w:id="91828499">
      <w:marLeft w:val="0"/>
      <w:marRight w:val="0"/>
      <w:marTop w:val="0"/>
      <w:marBottom w:val="0"/>
      <w:divBdr>
        <w:top w:val="none" w:sz="0" w:space="0" w:color="auto"/>
        <w:left w:val="none" w:sz="0" w:space="0" w:color="auto"/>
        <w:bottom w:val="none" w:sz="0" w:space="0" w:color="auto"/>
        <w:right w:val="none" w:sz="0" w:space="0" w:color="auto"/>
      </w:divBdr>
    </w:div>
    <w:div w:id="91828500">
      <w:marLeft w:val="0"/>
      <w:marRight w:val="0"/>
      <w:marTop w:val="0"/>
      <w:marBottom w:val="0"/>
      <w:divBdr>
        <w:top w:val="none" w:sz="0" w:space="0" w:color="auto"/>
        <w:left w:val="none" w:sz="0" w:space="0" w:color="auto"/>
        <w:bottom w:val="none" w:sz="0" w:space="0" w:color="auto"/>
        <w:right w:val="none" w:sz="0" w:space="0" w:color="auto"/>
      </w:divBdr>
    </w:div>
    <w:div w:id="91828501">
      <w:marLeft w:val="0"/>
      <w:marRight w:val="0"/>
      <w:marTop w:val="0"/>
      <w:marBottom w:val="0"/>
      <w:divBdr>
        <w:top w:val="none" w:sz="0" w:space="0" w:color="auto"/>
        <w:left w:val="none" w:sz="0" w:space="0" w:color="auto"/>
        <w:bottom w:val="none" w:sz="0" w:space="0" w:color="auto"/>
        <w:right w:val="none" w:sz="0" w:space="0" w:color="auto"/>
      </w:divBdr>
      <w:divsChild>
        <w:div w:id="91828504">
          <w:marLeft w:val="0"/>
          <w:marRight w:val="0"/>
          <w:marTop w:val="0"/>
          <w:marBottom w:val="0"/>
          <w:divBdr>
            <w:top w:val="none" w:sz="0" w:space="0" w:color="auto"/>
            <w:left w:val="none" w:sz="0" w:space="0" w:color="auto"/>
            <w:bottom w:val="none" w:sz="0" w:space="0" w:color="auto"/>
            <w:right w:val="none" w:sz="0" w:space="0" w:color="auto"/>
          </w:divBdr>
        </w:div>
      </w:divsChild>
    </w:div>
    <w:div w:id="91828502">
      <w:marLeft w:val="0"/>
      <w:marRight w:val="0"/>
      <w:marTop w:val="0"/>
      <w:marBottom w:val="0"/>
      <w:divBdr>
        <w:top w:val="none" w:sz="0" w:space="0" w:color="auto"/>
        <w:left w:val="none" w:sz="0" w:space="0" w:color="auto"/>
        <w:bottom w:val="none" w:sz="0" w:space="0" w:color="auto"/>
        <w:right w:val="none" w:sz="0" w:space="0" w:color="auto"/>
      </w:divBdr>
    </w:div>
    <w:div w:id="91828503">
      <w:marLeft w:val="0"/>
      <w:marRight w:val="0"/>
      <w:marTop w:val="0"/>
      <w:marBottom w:val="0"/>
      <w:divBdr>
        <w:top w:val="none" w:sz="0" w:space="0" w:color="auto"/>
        <w:left w:val="none" w:sz="0" w:space="0" w:color="auto"/>
        <w:bottom w:val="none" w:sz="0" w:space="0" w:color="auto"/>
        <w:right w:val="none" w:sz="0" w:space="0" w:color="auto"/>
      </w:divBdr>
    </w:div>
    <w:div w:id="91828505">
      <w:marLeft w:val="0"/>
      <w:marRight w:val="0"/>
      <w:marTop w:val="0"/>
      <w:marBottom w:val="0"/>
      <w:divBdr>
        <w:top w:val="none" w:sz="0" w:space="0" w:color="auto"/>
        <w:left w:val="none" w:sz="0" w:space="0" w:color="auto"/>
        <w:bottom w:val="none" w:sz="0" w:space="0" w:color="auto"/>
        <w:right w:val="none" w:sz="0" w:space="0" w:color="auto"/>
      </w:divBdr>
    </w:div>
    <w:div w:id="146940201">
      <w:bodyDiv w:val="1"/>
      <w:marLeft w:val="0"/>
      <w:marRight w:val="0"/>
      <w:marTop w:val="0"/>
      <w:marBottom w:val="0"/>
      <w:divBdr>
        <w:top w:val="none" w:sz="0" w:space="0" w:color="auto"/>
        <w:left w:val="none" w:sz="0" w:space="0" w:color="auto"/>
        <w:bottom w:val="none" w:sz="0" w:space="0" w:color="auto"/>
        <w:right w:val="none" w:sz="0" w:space="0" w:color="auto"/>
      </w:divBdr>
    </w:div>
    <w:div w:id="218829671">
      <w:bodyDiv w:val="1"/>
      <w:marLeft w:val="0"/>
      <w:marRight w:val="0"/>
      <w:marTop w:val="0"/>
      <w:marBottom w:val="0"/>
      <w:divBdr>
        <w:top w:val="none" w:sz="0" w:space="0" w:color="auto"/>
        <w:left w:val="none" w:sz="0" w:space="0" w:color="auto"/>
        <w:bottom w:val="none" w:sz="0" w:space="0" w:color="auto"/>
        <w:right w:val="none" w:sz="0" w:space="0" w:color="auto"/>
      </w:divBdr>
    </w:div>
    <w:div w:id="244152940">
      <w:bodyDiv w:val="1"/>
      <w:marLeft w:val="0"/>
      <w:marRight w:val="0"/>
      <w:marTop w:val="0"/>
      <w:marBottom w:val="0"/>
      <w:divBdr>
        <w:top w:val="none" w:sz="0" w:space="0" w:color="auto"/>
        <w:left w:val="none" w:sz="0" w:space="0" w:color="auto"/>
        <w:bottom w:val="none" w:sz="0" w:space="0" w:color="auto"/>
        <w:right w:val="none" w:sz="0" w:space="0" w:color="auto"/>
      </w:divBdr>
    </w:div>
    <w:div w:id="426511235">
      <w:bodyDiv w:val="1"/>
      <w:marLeft w:val="0"/>
      <w:marRight w:val="0"/>
      <w:marTop w:val="0"/>
      <w:marBottom w:val="0"/>
      <w:divBdr>
        <w:top w:val="none" w:sz="0" w:space="0" w:color="auto"/>
        <w:left w:val="none" w:sz="0" w:space="0" w:color="auto"/>
        <w:bottom w:val="none" w:sz="0" w:space="0" w:color="auto"/>
        <w:right w:val="none" w:sz="0" w:space="0" w:color="auto"/>
      </w:divBdr>
    </w:div>
    <w:div w:id="439757981">
      <w:bodyDiv w:val="1"/>
      <w:marLeft w:val="0"/>
      <w:marRight w:val="0"/>
      <w:marTop w:val="0"/>
      <w:marBottom w:val="0"/>
      <w:divBdr>
        <w:top w:val="none" w:sz="0" w:space="0" w:color="auto"/>
        <w:left w:val="none" w:sz="0" w:space="0" w:color="auto"/>
        <w:bottom w:val="none" w:sz="0" w:space="0" w:color="auto"/>
        <w:right w:val="none" w:sz="0" w:space="0" w:color="auto"/>
      </w:divBdr>
    </w:div>
    <w:div w:id="649679679">
      <w:bodyDiv w:val="1"/>
      <w:marLeft w:val="0"/>
      <w:marRight w:val="0"/>
      <w:marTop w:val="0"/>
      <w:marBottom w:val="0"/>
      <w:divBdr>
        <w:top w:val="none" w:sz="0" w:space="0" w:color="auto"/>
        <w:left w:val="none" w:sz="0" w:space="0" w:color="auto"/>
        <w:bottom w:val="none" w:sz="0" w:space="0" w:color="auto"/>
        <w:right w:val="none" w:sz="0" w:space="0" w:color="auto"/>
      </w:divBdr>
    </w:div>
    <w:div w:id="683676265">
      <w:bodyDiv w:val="1"/>
      <w:marLeft w:val="0"/>
      <w:marRight w:val="0"/>
      <w:marTop w:val="0"/>
      <w:marBottom w:val="0"/>
      <w:divBdr>
        <w:top w:val="none" w:sz="0" w:space="0" w:color="auto"/>
        <w:left w:val="none" w:sz="0" w:space="0" w:color="auto"/>
        <w:bottom w:val="none" w:sz="0" w:space="0" w:color="auto"/>
        <w:right w:val="none" w:sz="0" w:space="0" w:color="auto"/>
      </w:divBdr>
    </w:div>
    <w:div w:id="686178674">
      <w:bodyDiv w:val="1"/>
      <w:marLeft w:val="0"/>
      <w:marRight w:val="0"/>
      <w:marTop w:val="0"/>
      <w:marBottom w:val="0"/>
      <w:divBdr>
        <w:top w:val="none" w:sz="0" w:space="0" w:color="auto"/>
        <w:left w:val="none" w:sz="0" w:space="0" w:color="auto"/>
        <w:bottom w:val="none" w:sz="0" w:space="0" w:color="auto"/>
        <w:right w:val="none" w:sz="0" w:space="0" w:color="auto"/>
      </w:divBdr>
    </w:div>
    <w:div w:id="727194404">
      <w:bodyDiv w:val="1"/>
      <w:marLeft w:val="0"/>
      <w:marRight w:val="0"/>
      <w:marTop w:val="0"/>
      <w:marBottom w:val="0"/>
      <w:divBdr>
        <w:top w:val="none" w:sz="0" w:space="0" w:color="auto"/>
        <w:left w:val="none" w:sz="0" w:space="0" w:color="auto"/>
        <w:bottom w:val="none" w:sz="0" w:space="0" w:color="auto"/>
        <w:right w:val="none" w:sz="0" w:space="0" w:color="auto"/>
      </w:divBdr>
    </w:div>
    <w:div w:id="884872813">
      <w:bodyDiv w:val="1"/>
      <w:marLeft w:val="0"/>
      <w:marRight w:val="0"/>
      <w:marTop w:val="0"/>
      <w:marBottom w:val="0"/>
      <w:divBdr>
        <w:top w:val="none" w:sz="0" w:space="0" w:color="auto"/>
        <w:left w:val="none" w:sz="0" w:space="0" w:color="auto"/>
        <w:bottom w:val="none" w:sz="0" w:space="0" w:color="auto"/>
        <w:right w:val="none" w:sz="0" w:space="0" w:color="auto"/>
      </w:divBdr>
    </w:div>
    <w:div w:id="888733769">
      <w:bodyDiv w:val="1"/>
      <w:marLeft w:val="0"/>
      <w:marRight w:val="0"/>
      <w:marTop w:val="0"/>
      <w:marBottom w:val="0"/>
      <w:divBdr>
        <w:top w:val="none" w:sz="0" w:space="0" w:color="auto"/>
        <w:left w:val="none" w:sz="0" w:space="0" w:color="auto"/>
        <w:bottom w:val="none" w:sz="0" w:space="0" w:color="auto"/>
        <w:right w:val="none" w:sz="0" w:space="0" w:color="auto"/>
      </w:divBdr>
    </w:div>
    <w:div w:id="916283652">
      <w:bodyDiv w:val="1"/>
      <w:marLeft w:val="0"/>
      <w:marRight w:val="0"/>
      <w:marTop w:val="0"/>
      <w:marBottom w:val="0"/>
      <w:divBdr>
        <w:top w:val="none" w:sz="0" w:space="0" w:color="auto"/>
        <w:left w:val="none" w:sz="0" w:space="0" w:color="auto"/>
        <w:bottom w:val="none" w:sz="0" w:space="0" w:color="auto"/>
        <w:right w:val="none" w:sz="0" w:space="0" w:color="auto"/>
      </w:divBdr>
    </w:div>
    <w:div w:id="941255088">
      <w:bodyDiv w:val="1"/>
      <w:marLeft w:val="0"/>
      <w:marRight w:val="0"/>
      <w:marTop w:val="0"/>
      <w:marBottom w:val="0"/>
      <w:divBdr>
        <w:top w:val="none" w:sz="0" w:space="0" w:color="auto"/>
        <w:left w:val="none" w:sz="0" w:space="0" w:color="auto"/>
        <w:bottom w:val="none" w:sz="0" w:space="0" w:color="auto"/>
        <w:right w:val="none" w:sz="0" w:space="0" w:color="auto"/>
      </w:divBdr>
    </w:div>
    <w:div w:id="1006320202">
      <w:bodyDiv w:val="1"/>
      <w:marLeft w:val="0"/>
      <w:marRight w:val="0"/>
      <w:marTop w:val="0"/>
      <w:marBottom w:val="0"/>
      <w:divBdr>
        <w:top w:val="none" w:sz="0" w:space="0" w:color="auto"/>
        <w:left w:val="none" w:sz="0" w:space="0" w:color="auto"/>
        <w:bottom w:val="none" w:sz="0" w:space="0" w:color="auto"/>
        <w:right w:val="none" w:sz="0" w:space="0" w:color="auto"/>
      </w:divBdr>
    </w:div>
    <w:div w:id="1020275375">
      <w:bodyDiv w:val="1"/>
      <w:marLeft w:val="0"/>
      <w:marRight w:val="0"/>
      <w:marTop w:val="0"/>
      <w:marBottom w:val="0"/>
      <w:divBdr>
        <w:top w:val="none" w:sz="0" w:space="0" w:color="auto"/>
        <w:left w:val="none" w:sz="0" w:space="0" w:color="auto"/>
        <w:bottom w:val="none" w:sz="0" w:space="0" w:color="auto"/>
        <w:right w:val="none" w:sz="0" w:space="0" w:color="auto"/>
      </w:divBdr>
    </w:div>
    <w:div w:id="1025331559">
      <w:bodyDiv w:val="1"/>
      <w:marLeft w:val="0"/>
      <w:marRight w:val="0"/>
      <w:marTop w:val="0"/>
      <w:marBottom w:val="0"/>
      <w:divBdr>
        <w:top w:val="none" w:sz="0" w:space="0" w:color="auto"/>
        <w:left w:val="none" w:sz="0" w:space="0" w:color="auto"/>
        <w:bottom w:val="none" w:sz="0" w:space="0" w:color="auto"/>
        <w:right w:val="none" w:sz="0" w:space="0" w:color="auto"/>
      </w:divBdr>
    </w:div>
    <w:div w:id="1034964797">
      <w:bodyDiv w:val="1"/>
      <w:marLeft w:val="0"/>
      <w:marRight w:val="0"/>
      <w:marTop w:val="0"/>
      <w:marBottom w:val="0"/>
      <w:divBdr>
        <w:top w:val="none" w:sz="0" w:space="0" w:color="auto"/>
        <w:left w:val="none" w:sz="0" w:space="0" w:color="auto"/>
        <w:bottom w:val="none" w:sz="0" w:space="0" w:color="auto"/>
        <w:right w:val="none" w:sz="0" w:space="0" w:color="auto"/>
      </w:divBdr>
    </w:div>
    <w:div w:id="1156528634">
      <w:bodyDiv w:val="1"/>
      <w:marLeft w:val="0"/>
      <w:marRight w:val="0"/>
      <w:marTop w:val="0"/>
      <w:marBottom w:val="0"/>
      <w:divBdr>
        <w:top w:val="none" w:sz="0" w:space="0" w:color="auto"/>
        <w:left w:val="none" w:sz="0" w:space="0" w:color="auto"/>
        <w:bottom w:val="none" w:sz="0" w:space="0" w:color="auto"/>
        <w:right w:val="none" w:sz="0" w:space="0" w:color="auto"/>
      </w:divBdr>
    </w:div>
    <w:div w:id="1166432725">
      <w:bodyDiv w:val="1"/>
      <w:marLeft w:val="0"/>
      <w:marRight w:val="0"/>
      <w:marTop w:val="0"/>
      <w:marBottom w:val="0"/>
      <w:divBdr>
        <w:top w:val="none" w:sz="0" w:space="0" w:color="auto"/>
        <w:left w:val="none" w:sz="0" w:space="0" w:color="auto"/>
        <w:bottom w:val="none" w:sz="0" w:space="0" w:color="auto"/>
        <w:right w:val="none" w:sz="0" w:space="0" w:color="auto"/>
      </w:divBdr>
    </w:div>
    <w:div w:id="1171414892">
      <w:bodyDiv w:val="1"/>
      <w:marLeft w:val="0"/>
      <w:marRight w:val="0"/>
      <w:marTop w:val="0"/>
      <w:marBottom w:val="0"/>
      <w:divBdr>
        <w:top w:val="none" w:sz="0" w:space="0" w:color="auto"/>
        <w:left w:val="none" w:sz="0" w:space="0" w:color="auto"/>
        <w:bottom w:val="none" w:sz="0" w:space="0" w:color="auto"/>
        <w:right w:val="none" w:sz="0" w:space="0" w:color="auto"/>
      </w:divBdr>
    </w:div>
    <w:div w:id="1177160923">
      <w:bodyDiv w:val="1"/>
      <w:marLeft w:val="0"/>
      <w:marRight w:val="0"/>
      <w:marTop w:val="0"/>
      <w:marBottom w:val="0"/>
      <w:divBdr>
        <w:top w:val="none" w:sz="0" w:space="0" w:color="auto"/>
        <w:left w:val="none" w:sz="0" w:space="0" w:color="auto"/>
        <w:bottom w:val="none" w:sz="0" w:space="0" w:color="auto"/>
        <w:right w:val="none" w:sz="0" w:space="0" w:color="auto"/>
      </w:divBdr>
    </w:div>
    <w:div w:id="1177187233">
      <w:bodyDiv w:val="1"/>
      <w:marLeft w:val="0"/>
      <w:marRight w:val="0"/>
      <w:marTop w:val="0"/>
      <w:marBottom w:val="0"/>
      <w:divBdr>
        <w:top w:val="none" w:sz="0" w:space="0" w:color="auto"/>
        <w:left w:val="none" w:sz="0" w:space="0" w:color="auto"/>
        <w:bottom w:val="none" w:sz="0" w:space="0" w:color="auto"/>
        <w:right w:val="none" w:sz="0" w:space="0" w:color="auto"/>
      </w:divBdr>
    </w:div>
    <w:div w:id="1216821365">
      <w:bodyDiv w:val="1"/>
      <w:marLeft w:val="0"/>
      <w:marRight w:val="0"/>
      <w:marTop w:val="0"/>
      <w:marBottom w:val="0"/>
      <w:divBdr>
        <w:top w:val="none" w:sz="0" w:space="0" w:color="auto"/>
        <w:left w:val="none" w:sz="0" w:space="0" w:color="auto"/>
        <w:bottom w:val="none" w:sz="0" w:space="0" w:color="auto"/>
        <w:right w:val="none" w:sz="0" w:space="0" w:color="auto"/>
      </w:divBdr>
    </w:div>
    <w:div w:id="1233587581">
      <w:bodyDiv w:val="1"/>
      <w:marLeft w:val="0"/>
      <w:marRight w:val="0"/>
      <w:marTop w:val="0"/>
      <w:marBottom w:val="0"/>
      <w:divBdr>
        <w:top w:val="none" w:sz="0" w:space="0" w:color="auto"/>
        <w:left w:val="none" w:sz="0" w:space="0" w:color="auto"/>
        <w:bottom w:val="none" w:sz="0" w:space="0" w:color="auto"/>
        <w:right w:val="none" w:sz="0" w:space="0" w:color="auto"/>
      </w:divBdr>
    </w:div>
    <w:div w:id="1274483888">
      <w:bodyDiv w:val="1"/>
      <w:marLeft w:val="0"/>
      <w:marRight w:val="0"/>
      <w:marTop w:val="0"/>
      <w:marBottom w:val="0"/>
      <w:divBdr>
        <w:top w:val="none" w:sz="0" w:space="0" w:color="auto"/>
        <w:left w:val="none" w:sz="0" w:space="0" w:color="auto"/>
        <w:bottom w:val="none" w:sz="0" w:space="0" w:color="auto"/>
        <w:right w:val="none" w:sz="0" w:space="0" w:color="auto"/>
      </w:divBdr>
    </w:div>
    <w:div w:id="1302226699">
      <w:bodyDiv w:val="1"/>
      <w:marLeft w:val="0"/>
      <w:marRight w:val="0"/>
      <w:marTop w:val="0"/>
      <w:marBottom w:val="0"/>
      <w:divBdr>
        <w:top w:val="none" w:sz="0" w:space="0" w:color="auto"/>
        <w:left w:val="none" w:sz="0" w:space="0" w:color="auto"/>
        <w:bottom w:val="none" w:sz="0" w:space="0" w:color="auto"/>
        <w:right w:val="none" w:sz="0" w:space="0" w:color="auto"/>
      </w:divBdr>
    </w:div>
    <w:div w:id="1356929882">
      <w:bodyDiv w:val="1"/>
      <w:marLeft w:val="0"/>
      <w:marRight w:val="0"/>
      <w:marTop w:val="0"/>
      <w:marBottom w:val="0"/>
      <w:divBdr>
        <w:top w:val="none" w:sz="0" w:space="0" w:color="auto"/>
        <w:left w:val="none" w:sz="0" w:space="0" w:color="auto"/>
        <w:bottom w:val="none" w:sz="0" w:space="0" w:color="auto"/>
        <w:right w:val="none" w:sz="0" w:space="0" w:color="auto"/>
      </w:divBdr>
    </w:div>
    <w:div w:id="1434672494">
      <w:bodyDiv w:val="1"/>
      <w:marLeft w:val="0"/>
      <w:marRight w:val="0"/>
      <w:marTop w:val="0"/>
      <w:marBottom w:val="0"/>
      <w:divBdr>
        <w:top w:val="none" w:sz="0" w:space="0" w:color="auto"/>
        <w:left w:val="none" w:sz="0" w:space="0" w:color="auto"/>
        <w:bottom w:val="none" w:sz="0" w:space="0" w:color="auto"/>
        <w:right w:val="none" w:sz="0" w:space="0" w:color="auto"/>
      </w:divBdr>
    </w:div>
    <w:div w:id="1479495273">
      <w:bodyDiv w:val="1"/>
      <w:marLeft w:val="0"/>
      <w:marRight w:val="0"/>
      <w:marTop w:val="0"/>
      <w:marBottom w:val="0"/>
      <w:divBdr>
        <w:top w:val="none" w:sz="0" w:space="0" w:color="auto"/>
        <w:left w:val="none" w:sz="0" w:space="0" w:color="auto"/>
        <w:bottom w:val="none" w:sz="0" w:space="0" w:color="auto"/>
        <w:right w:val="none" w:sz="0" w:space="0" w:color="auto"/>
      </w:divBdr>
    </w:div>
    <w:div w:id="1523667680">
      <w:bodyDiv w:val="1"/>
      <w:marLeft w:val="0"/>
      <w:marRight w:val="0"/>
      <w:marTop w:val="0"/>
      <w:marBottom w:val="0"/>
      <w:divBdr>
        <w:top w:val="none" w:sz="0" w:space="0" w:color="auto"/>
        <w:left w:val="none" w:sz="0" w:space="0" w:color="auto"/>
        <w:bottom w:val="none" w:sz="0" w:space="0" w:color="auto"/>
        <w:right w:val="none" w:sz="0" w:space="0" w:color="auto"/>
      </w:divBdr>
    </w:div>
    <w:div w:id="1539394529">
      <w:bodyDiv w:val="1"/>
      <w:marLeft w:val="0"/>
      <w:marRight w:val="0"/>
      <w:marTop w:val="0"/>
      <w:marBottom w:val="0"/>
      <w:divBdr>
        <w:top w:val="none" w:sz="0" w:space="0" w:color="auto"/>
        <w:left w:val="none" w:sz="0" w:space="0" w:color="auto"/>
        <w:bottom w:val="none" w:sz="0" w:space="0" w:color="auto"/>
        <w:right w:val="none" w:sz="0" w:space="0" w:color="auto"/>
      </w:divBdr>
    </w:div>
    <w:div w:id="1545100481">
      <w:bodyDiv w:val="1"/>
      <w:marLeft w:val="0"/>
      <w:marRight w:val="0"/>
      <w:marTop w:val="0"/>
      <w:marBottom w:val="0"/>
      <w:divBdr>
        <w:top w:val="none" w:sz="0" w:space="0" w:color="auto"/>
        <w:left w:val="none" w:sz="0" w:space="0" w:color="auto"/>
        <w:bottom w:val="none" w:sz="0" w:space="0" w:color="auto"/>
        <w:right w:val="none" w:sz="0" w:space="0" w:color="auto"/>
      </w:divBdr>
    </w:div>
    <w:div w:id="1548956799">
      <w:bodyDiv w:val="1"/>
      <w:marLeft w:val="0"/>
      <w:marRight w:val="0"/>
      <w:marTop w:val="0"/>
      <w:marBottom w:val="0"/>
      <w:divBdr>
        <w:top w:val="none" w:sz="0" w:space="0" w:color="auto"/>
        <w:left w:val="none" w:sz="0" w:space="0" w:color="auto"/>
        <w:bottom w:val="none" w:sz="0" w:space="0" w:color="auto"/>
        <w:right w:val="none" w:sz="0" w:space="0" w:color="auto"/>
      </w:divBdr>
    </w:div>
    <w:div w:id="1564368107">
      <w:bodyDiv w:val="1"/>
      <w:marLeft w:val="0"/>
      <w:marRight w:val="0"/>
      <w:marTop w:val="0"/>
      <w:marBottom w:val="0"/>
      <w:divBdr>
        <w:top w:val="none" w:sz="0" w:space="0" w:color="auto"/>
        <w:left w:val="none" w:sz="0" w:space="0" w:color="auto"/>
        <w:bottom w:val="none" w:sz="0" w:space="0" w:color="auto"/>
        <w:right w:val="none" w:sz="0" w:space="0" w:color="auto"/>
      </w:divBdr>
    </w:div>
    <w:div w:id="1568372346">
      <w:bodyDiv w:val="1"/>
      <w:marLeft w:val="0"/>
      <w:marRight w:val="0"/>
      <w:marTop w:val="0"/>
      <w:marBottom w:val="0"/>
      <w:divBdr>
        <w:top w:val="none" w:sz="0" w:space="0" w:color="auto"/>
        <w:left w:val="none" w:sz="0" w:space="0" w:color="auto"/>
        <w:bottom w:val="none" w:sz="0" w:space="0" w:color="auto"/>
        <w:right w:val="none" w:sz="0" w:space="0" w:color="auto"/>
      </w:divBdr>
    </w:div>
    <w:div w:id="1788693185">
      <w:bodyDiv w:val="1"/>
      <w:marLeft w:val="0"/>
      <w:marRight w:val="0"/>
      <w:marTop w:val="0"/>
      <w:marBottom w:val="0"/>
      <w:divBdr>
        <w:top w:val="none" w:sz="0" w:space="0" w:color="auto"/>
        <w:left w:val="none" w:sz="0" w:space="0" w:color="auto"/>
        <w:bottom w:val="none" w:sz="0" w:space="0" w:color="auto"/>
        <w:right w:val="none" w:sz="0" w:space="0" w:color="auto"/>
      </w:divBdr>
    </w:div>
    <w:div w:id="1799257840">
      <w:bodyDiv w:val="1"/>
      <w:marLeft w:val="0"/>
      <w:marRight w:val="0"/>
      <w:marTop w:val="0"/>
      <w:marBottom w:val="0"/>
      <w:divBdr>
        <w:top w:val="none" w:sz="0" w:space="0" w:color="auto"/>
        <w:left w:val="none" w:sz="0" w:space="0" w:color="auto"/>
        <w:bottom w:val="none" w:sz="0" w:space="0" w:color="auto"/>
        <w:right w:val="none" w:sz="0" w:space="0" w:color="auto"/>
      </w:divBdr>
    </w:div>
    <w:div w:id="1814252718">
      <w:bodyDiv w:val="1"/>
      <w:marLeft w:val="0"/>
      <w:marRight w:val="0"/>
      <w:marTop w:val="0"/>
      <w:marBottom w:val="0"/>
      <w:divBdr>
        <w:top w:val="none" w:sz="0" w:space="0" w:color="auto"/>
        <w:left w:val="none" w:sz="0" w:space="0" w:color="auto"/>
        <w:bottom w:val="none" w:sz="0" w:space="0" w:color="auto"/>
        <w:right w:val="none" w:sz="0" w:space="0" w:color="auto"/>
      </w:divBdr>
    </w:div>
    <w:div w:id="1877698094">
      <w:bodyDiv w:val="1"/>
      <w:marLeft w:val="0"/>
      <w:marRight w:val="0"/>
      <w:marTop w:val="0"/>
      <w:marBottom w:val="0"/>
      <w:divBdr>
        <w:top w:val="none" w:sz="0" w:space="0" w:color="auto"/>
        <w:left w:val="none" w:sz="0" w:space="0" w:color="auto"/>
        <w:bottom w:val="none" w:sz="0" w:space="0" w:color="auto"/>
        <w:right w:val="none" w:sz="0" w:space="0" w:color="auto"/>
      </w:divBdr>
    </w:div>
    <w:div w:id="1884168963">
      <w:bodyDiv w:val="1"/>
      <w:marLeft w:val="0"/>
      <w:marRight w:val="0"/>
      <w:marTop w:val="0"/>
      <w:marBottom w:val="0"/>
      <w:divBdr>
        <w:top w:val="none" w:sz="0" w:space="0" w:color="auto"/>
        <w:left w:val="none" w:sz="0" w:space="0" w:color="auto"/>
        <w:bottom w:val="none" w:sz="0" w:space="0" w:color="auto"/>
        <w:right w:val="none" w:sz="0" w:space="0" w:color="auto"/>
      </w:divBdr>
    </w:div>
    <w:div w:id="1893614431">
      <w:bodyDiv w:val="1"/>
      <w:marLeft w:val="0"/>
      <w:marRight w:val="0"/>
      <w:marTop w:val="0"/>
      <w:marBottom w:val="0"/>
      <w:divBdr>
        <w:top w:val="none" w:sz="0" w:space="0" w:color="auto"/>
        <w:left w:val="none" w:sz="0" w:space="0" w:color="auto"/>
        <w:bottom w:val="none" w:sz="0" w:space="0" w:color="auto"/>
        <w:right w:val="none" w:sz="0" w:space="0" w:color="auto"/>
      </w:divBdr>
    </w:div>
    <w:div w:id="1894924291">
      <w:bodyDiv w:val="1"/>
      <w:marLeft w:val="0"/>
      <w:marRight w:val="0"/>
      <w:marTop w:val="0"/>
      <w:marBottom w:val="0"/>
      <w:divBdr>
        <w:top w:val="none" w:sz="0" w:space="0" w:color="auto"/>
        <w:left w:val="none" w:sz="0" w:space="0" w:color="auto"/>
        <w:bottom w:val="none" w:sz="0" w:space="0" w:color="auto"/>
        <w:right w:val="none" w:sz="0" w:space="0" w:color="auto"/>
      </w:divBdr>
    </w:div>
    <w:div w:id="1935816909">
      <w:bodyDiv w:val="1"/>
      <w:marLeft w:val="0"/>
      <w:marRight w:val="0"/>
      <w:marTop w:val="0"/>
      <w:marBottom w:val="0"/>
      <w:divBdr>
        <w:top w:val="none" w:sz="0" w:space="0" w:color="auto"/>
        <w:left w:val="none" w:sz="0" w:space="0" w:color="auto"/>
        <w:bottom w:val="none" w:sz="0" w:space="0" w:color="auto"/>
        <w:right w:val="none" w:sz="0" w:space="0" w:color="auto"/>
      </w:divBdr>
    </w:div>
    <w:div w:id="2051801787">
      <w:bodyDiv w:val="1"/>
      <w:marLeft w:val="0"/>
      <w:marRight w:val="0"/>
      <w:marTop w:val="0"/>
      <w:marBottom w:val="0"/>
      <w:divBdr>
        <w:top w:val="none" w:sz="0" w:space="0" w:color="auto"/>
        <w:left w:val="none" w:sz="0" w:space="0" w:color="auto"/>
        <w:bottom w:val="none" w:sz="0" w:space="0" w:color="auto"/>
        <w:right w:val="none" w:sz="0" w:space="0" w:color="auto"/>
      </w:divBdr>
    </w:div>
    <w:div w:id="2134399793">
      <w:bodyDiv w:val="1"/>
      <w:marLeft w:val="0"/>
      <w:marRight w:val="0"/>
      <w:marTop w:val="0"/>
      <w:marBottom w:val="0"/>
      <w:divBdr>
        <w:top w:val="none" w:sz="0" w:space="0" w:color="auto"/>
        <w:left w:val="none" w:sz="0" w:space="0" w:color="auto"/>
        <w:bottom w:val="none" w:sz="0" w:space="0" w:color="auto"/>
        <w:right w:val="none" w:sz="0" w:space="0" w:color="auto"/>
      </w:divBdr>
    </w:div>
    <w:div w:id="213512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997F-9612-429B-A107-A44D0826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4623</Words>
  <Characters>31903</Characters>
  <Application>Microsoft Office Word</Application>
  <DocSecurity>0</DocSecurity>
  <Lines>265</Lines>
  <Paragraphs>72</Paragraphs>
  <ScaleCrop>false</ScaleCrop>
  <HeadingPairs>
    <vt:vector size="2" baseType="variant">
      <vt:variant>
        <vt:lpstr>Cím</vt:lpstr>
      </vt:variant>
      <vt:variant>
        <vt:i4>1</vt:i4>
      </vt:variant>
    </vt:vector>
  </HeadingPairs>
  <TitlesOfParts>
    <vt:vector size="1" baseType="lpstr">
      <vt:lpstr>Az előterjesztő megnevezése</vt:lpstr>
    </vt:vector>
  </TitlesOfParts>
  <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előterjesztő megnevezése</dc:title>
  <dc:subject/>
  <dc:creator>Fehérné dr. Bodó Mariann</dc:creator>
  <cp:keywords/>
  <dc:description/>
  <cp:lastModifiedBy>Takács Lajos</cp:lastModifiedBy>
  <cp:revision>2</cp:revision>
  <cp:lastPrinted>2021-11-17T10:29:00Z</cp:lastPrinted>
  <dcterms:created xsi:type="dcterms:W3CDTF">2021-11-19T08:29:00Z</dcterms:created>
  <dcterms:modified xsi:type="dcterms:W3CDTF">2021-11-19T08:29:00Z</dcterms:modified>
</cp:coreProperties>
</file>